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启东市蝶湖中学2025年窗帘采购与安装项目</w:t>
      </w:r>
    </w:p>
    <w:p>
      <w:pPr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市场询价公告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(二次)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启东市蝶湖中学2025年窗帘采购与安装项目</w:t>
      </w:r>
      <w:r>
        <w:rPr>
          <w:rFonts w:hint="eastAsia" w:ascii="宋体" w:hAnsi="宋体" w:eastAsia="宋体"/>
          <w:sz w:val="24"/>
          <w:szCs w:val="24"/>
        </w:rPr>
        <w:t>即将实施，现就该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进行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第二次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市场询价调研。</w:t>
      </w:r>
    </w:p>
    <w:p>
      <w:pPr>
        <w:numPr>
          <w:ilvl w:val="0"/>
          <w:numId w:val="1"/>
        </w:num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采购需求：</w:t>
      </w:r>
    </w:p>
    <w:tbl>
      <w:tblPr>
        <w:tblStyle w:val="10"/>
        <w:tblW w:w="10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05"/>
        <w:gridCol w:w="5565"/>
        <w:gridCol w:w="776"/>
        <w:gridCol w:w="746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帘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1、成分：98.4%聚酯纤维，1.6%其他纤维；净单位面积质量480g/㎡±5g （依据GB/T  4669-2008标准）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2、甲醛含量）（mg/kg)：未检出 （依据GB/T  2912.1-2009标）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3、PH值：5.0-7.0  （依据GB/T  7573-2009标准）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4、异味：无 （依据GB/T  18401-2010标准）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、透气率:  ≥135mm/s （依据GB/T 5453-1997标准）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、透光率：≤2%（依据FZ/T 01009-2008标准）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、致癌染料（水洗前）/（mg/kg)：未检出 （依据GB/T  20382-2006标准）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、致敏性分散染料（水洗前）/ （mg/kg)：未检出 (依据GB/T 20383-2006标准)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、重金属可萃取量（砷、镉、钴、铬、铜、镍、铅、锑）：未检出（依据GB/T  17593.2-2007标准）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、遮光率：≥99%（依据FZ/T 62025-2015标准）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、阻燃性能：水洗61次后仍符合GB8624-2012中B1级要求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、损毁长度: 经向：≤150mm，纬向：≤150mm （依据GB/T  5455-2014标准）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 续燃时间: 经向: ≤5s，纬向：≤5s （依据GB/T  5455-2014标准）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燃时间：经向: ≤5s，纬向：≤5s （依据GB/T  5455-2014标准）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、氧指数OI/%：≥32（依据GB/T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5454-1997标准）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、防霉等级：≤1级（根据 GB/T 24346-2009标准）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注：以上各项技术指标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需提供有效期内第三方权威检测机构出具的带有国家计量认证（CMA）标识的检测报告复印件进行佐证。</w:t>
            </w:r>
          </w:p>
          <w:p>
            <w:pPr>
              <w:widowControl/>
              <w:snapToGrid w:val="0"/>
              <w:spacing w:line="360" w:lineRule="auto"/>
              <w:ind w:left="425" w:leftChars="0" w:hanging="425" w:firstLineChars="0"/>
              <w:contextualSpacing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窗帘布打皱比例1：2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窗帘颜色由学校确定。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-554990</wp:posOffset>
                  </wp:positionV>
                  <wp:extent cx="975995" cy="1795145"/>
                  <wp:effectExtent l="0" t="0" r="14605" b="14605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手动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尺寸： 宽度：25mm±0.05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高度25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±0.05；壁厚1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拉伸试验：规定非比例延伸强度 ≥220MPa；拉伸强度≥245MPa；断后伸长率≥15.2%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化学成分：（硅、铁、铜、锰、镁、铬、锌、钛）≤1%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重金属含量：（铅、镉、汞）未检出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膜厚：≥20μm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涂层附着力：0级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滑轮承重：加载≥2kg无损坏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封口承重：加载20kg无变形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轨道承重：加载50kg无变形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滑轮使用寿命：≥15000次往复磨损，不变形或无损坏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弯曲度：任意300㎜≤0.1毫米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扭拧度：≤0.5㎜/m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轨道米克重：≥276.8g/m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维氏硬度：≥90HV0.2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contextualSpacing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注：以上各项技术指标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需提供有效期内第三方权威检测机构出具的带有国家计量认证（CMA）标识的检测报告复印件进行佐证。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eastAsia="zh-CN" w:bidi="ar"/>
              </w:rPr>
              <w:drawing>
                <wp:inline distT="0" distB="0" distL="114300" distR="114300">
                  <wp:extent cx="1061720" cy="568325"/>
                  <wp:effectExtent l="0" t="0" r="5080" b="3175"/>
                  <wp:docPr id="10" name="图片 10" descr="95b17c67209347726febbdb7a5eed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5b17c67209347726febbdb7a5eeda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="宋体" w:hAnsi="宋体" w:eastAsia="宋体" w:cs="宋体"/>
          <w:kern w:val="2"/>
          <w:szCs w:val="24"/>
          <w:lang w:val="zh-CN" w:eastAsia="zh-CN"/>
        </w:rPr>
      </w:pPr>
    </w:p>
    <w:p>
      <w:pPr>
        <w:snapToGrid w:val="0"/>
        <w:spacing w:line="360" w:lineRule="auto"/>
        <w:ind w:firstLine="56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报价单位</w:t>
      </w:r>
      <w:r>
        <w:rPr>
          <w:rFonts w:hint="eastAsia" w:ascii="宋体" w:hAnsi="宋体" w:eastAsia="宋体" w:cs="宋体"/>
          <w:sz w:val="24"/>
          <w:szCs w:val="24"/>
        </w:rPr>
        <w:t>的要求：</w:t>
      </w:r>
    </w:p>
    <w:p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1.符合《中华人民共和国政府采购法》第二十二条的规定；</w:t>
      </w:r>
    </w:p>
    <w:p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2.未被“信用中国”网站（www.creditchina.gov.cn）列入失信被执行人、重大税收违法案件当事人名单、政府采购严重失信行为记录名单；</w:t>
      </w:r>
    </w:p>
    <w:p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3.</w:t>
      </w:r>
      <w:r>
        <w:rPr>
          <w:rFonts w:hint="eastAsia" w:ascii="宋体" w:hAnsi="宋体" w:eastAsia="宋体" w:cs="宋体"/>
          <w:kern w:val="2"/>
          <w:szCs w:val="24"/>
          <w:lang w:eastAsia="zh-CN"/>
        </w:rPr>
        <w:t>报价单位</w:t>
      </w:r>
      <w:r>
        <w:rPr>
          <w:rFonts w:hint="eastAsia" w:ascii="宋体" w:hAnsi="宋体" w:eastAsia="宋体" w:cs="宋体"/>
          <w:kern w:val="2"/>
          <w:szCs w:val="24"/>
        </w:rPr>
        <w:t>具有有效的营业执照。</w:t>
      </w:r>
    </w:p>
    <w:p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4.本项目不接受联合体投标。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三、约定事项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1、参与报价的单位需将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法人营业执照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检测报告等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复印件和市场询价表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加盖公章</w:t>
      </w:r>
      <w:r>
        <w:rPr>
          <w:rFonts w:hint="eastAsia" w:ascii="宋体" w:hAnsi="宋体" w:eastAsia="宋体" w:cs="宋体"/>
          <w:sz w:val="24"/>
          <w:szCs w:val="24"/>
        </w:rPr>
        <w:t>，于202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  <w:szCs w:val="24"/>
        </w:rPr>
        <w:t>日17：00前，送或寄（以邮戳为准）启东市蝶湖中学门卫（启东市汇龙镇黄浦江路1800号），联系人：顾老师，联系电话：13862990558。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2、报价必须满足相关技术参数的相关要求，否则视为无效报价。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color w:val="auto"/>
          <w:kern w:val="2"/>
          <w:szCs w:val="24"/>
        </w:rPr>
      </w:pPr>
      <w:r>
        <w:rPr>
          <w:rFonts w:hint="eastAsia" w:ascii="宋体" w:hAnsi="宋体" w:eastAsia="宋体" w:cs="宋体"/>
          <w:szCs w:val="24"/>
        </w:rPr>
        <w:t>3、拟定支付方式</w:t>
      </w:r>
      <w:r>
        <w:rPr>
          <w:rFonts w:hint="eastAsia" w:ascii="宋体" w:hAnsi="宋体" w:eastAsia="宋体" w:cs="宋体"/>
          <w:kern w:val="2"/>
          <w:szCs w:val="24"/>
        </w:rPr>
        <w:t>及期限：</w:t>
      </w:r>
      <w:r>
        <w:rPr>
          <w:rFonts w:hint="eastAsia" w:ascii="宋体" w:hAnsi="宋体" w:eastAsia="宋体" w:cs="宋体"/>
          <w:color w:val="auto"/>
          <w:kern w:val="2"/>
          <w:szCs w:val="24"/>
        </w:rPr>
        <w:t>凭启东市市场监督管理局出具合格的检测报告(如有)，经验收合格后付至合同价的</w:t>
      </w:r>
      <w:r>
        <w:rPr>
          <w:rFonts w:hint="eastAsia" w:ascii="宋体" w:hAnsi="宋体" w:eastAsia="宋体" w:cs="宋体"/>
          <w:color w:val="auto"/>
          <w:kern w:val="2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kern w:val="2"/>
          <w:szCs w:val="24"/>
        </w:rPr>
        <w:t>%；于服务期满（从验收合格之日算起），经采购单位认可后一次性付清余款（不计利息）。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4、质保期：三年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eastAsia"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</w:rPr>
        <w:t>5、报价费用说明：包括人工费、材料费、窗帘盒等所有配件费用、运输到指定地点的装运费用（含装卸力资）、机械费、技术措施费、检测试验费、临时设施、成品保护、与各工种间的协调工作等各项措施项目费、市场材料价格风险费、政策性调整风险费的所有费用、安装调试费、售后服务费、规费、税金、企业合理利润及其他（如垃圾清理费等一切费用）完成本项目任务过程中可能发生的全部费用。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eastAsia" w:ascii="宋体" w:hAnsi="宋体" w:eastAsia="宋体" w:cs="宋体"/>
          <w:bCs/>
          <w:szCs w:val="24"/>
          <w:lang w:eastAsia="zh-CN"/>
        </w:rPr>
      </w:pPr>
      <w:r>
        <w:rPr>
          <w:rFonts w:hint="eastAsia" w:ascii="宋体" w:hAnsi="宋体" w:eastAsia="宋体" w:cs="宋体"/>
          <w:bCs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Cs w:val="24"/>
        </w:rPr>
        <w:t>单位自行踏勘现场，如遇现场（包括但不限于管道、电气、墙体定位、基层等）所有与本次采购及安装需求有不符的情况，由</w:t>
      </w:r>
      <w:r>
        <w:rPr>
          <w:rFonts w:hint="eastAsia" w:ascii="宋体" w:hAnsi="宋体" w:eastAsia="宋体" w:cs="宋体"/>
          <w:bCs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Cs w:val="24"/>
        </w:rPr>
        <w:t>单位自行考虑整改费用满足采购及安装需求，含在本次报价内</w:t>
      </w:r>
      <w:r>
        <w:rPr>
          <w:rFonts w:hint="eastAsia" w:ascii="宋体" w:hAnsi="宋体" w:eastAsia="宋体" w:cs="宋体"/>
          <w:bCs/>
          <w:szCs w:val="24"/>
          <w:lang w:eastAsia="zh-CN"/>
        </w:rPr>
        <w:t>。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</w:rPr>
        <w:t>6、所有报价单均需加盖报价单位公章。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7、其他：（1）请报价单位认真核算、如实报价，如发现虚假报价的，报上级主管部门处理；（2）本次报价仅作为市场调研用，因此价格仅供参考；（3）本次调研询价不接收质疑函，只接收对本项目的建议。</w:t>
      </w:r>
    </w:p>
    <w:p>
      <w:pPr>
        <w:spacing w:line="312" w:lineRule="auto"/>
        <w:ind w:firstLine="6000" w:firstLineChars="25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启东市蝶湖中学</w:t>
      </w:r>
    </w:p>
    <w:p>
      <w:pPr>
        <w:spacing w:line="312" w:lineRule="auto"/>
        <w:ind w:firstLine="6000" w:firstLineChars="2500"/>
        <w:jc w:val="righ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日</w:t>
      </w:r>
    </w:p>
    <w:p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</w:p>
    <w:p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启东市蝶湖中学2025年窗帘采购与安装项目</w:t>
      </w:r>
      <w:r>
        <w:rPr>
          <w:rFonts w:hint="eastAsia" w:ascii="宋体" w:hAnsi="宋体" w:eastAsia="宋体"/>
          <w:b/>
          <w:sz w:val="28"/>
          <w:szCs w:val="28"/>
        </w:rPr>
        <w:t>询价报价单</w:t>
      </w:r>
    </w:p>
    <w:tbl>
      <w:tblPr>
        <w:tblStyle w:val="10"/>
        <w:tblW w:w="98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09"/>
        <w:gridCol w:w="2025"/>
        <w:gridCol w:w="960"/>
        <w:gridCol w:w="810"/>
        <w:gridCol w:w="810"/>
        <w:gridCol w:w="111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是否满足技术参数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品牌型号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pStyle w:val="2"/>
      </w:pPr>
      <w:r>
        <w:rPr>
          <w:rFonts w:hint="eastAsia" w:ascii="宋体" w:hAnsi="宋体" w:eastAsia="宋体" w:cs="宋体"/>
          <w:sz w:val="28"/>
          <w:szCs w:val="28"/>
        </w:rPr>
        <w:t>报价日期：</w:t>
      </w:r>
    </w:p>
    <w:sectPr>
      <w:pgSz w:w="11906" w:h="16838"/>
      <w:pgMar w:top="1247" w:right="1417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45813"/>
    <w:multiLevelType w:val="singleLevel"/>
    <w:tmpl w:val="06245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mMzNDc5ODJmMjU3ZjcxZmY1NjcyZmFlZmRhNzUifQ=="/>
  </w:docVars>
  <w:rsids>
    <w:rsidRoot w:val="00D76A3E"/>
    <w:rsid w:val="00044771"/>
    <w:rsid w:val="00107471"/>
    <w:rsid w:val="0013466F"/>
    <w:rsid w:val="00180C3A"/>
    <w:rsid w:val="001B1D6F"/>
    <w:rsid w:val="00244B1C"/>
    <w:rsid w:val="00276B4F"/>
    <w:rsid w:val="00324ECF"/>
    <w:rsid w:val="00506D64"/>
    <w:rsid w:val="006E4304"/>
    <w:rsid w:val="00704341"/>
    <w:rsid w:val="00917D1F"/>
    <w:rsid w:val="00921DD6"/>
    <w:rsid w:val="009E10DB"/>
    <w:rsid w:val="00AC3138"/>
    <w:rsid w:val="00D76A3E"/>
    <w:rsid w:val="032C2C0C"/>
    <w:rsid w:val="034026E5"/>
    <w:rsid w:val="0B685E7C"/>
    <w:rsid w:val="0C7110AB"/>
    <w:rsid w:val="0D4258D0"/>
    <w:rsid w:val="0DB05BA8"/>
    <w:rsid w:val="0EAA135B"/>
    <w:rsid w:val="0FA74F14"/>
    <w:rsid w:val="10661496"/>
    <w:rsid w:val="12902BB3"/>
    <w:rsid w:val="130A1D68"/>
    <w:rsid w:val="157C3B08"/>
    <w:rsid w:val="18052374"/>
    <w:rsid w:val="195919B3"/>
    <w:rsid w:val="1A9D7E39"/>
    <w:rsid w:val="1DA31F6E"/>
    <w:rsid w:val="1E0353FA"/>
    <w:rsid w:val="1ED60045"/>
    <w:rsid w:val="1F034C5D"/>
    <w:rsid w:val="1FB0187A"/>
    <w:rsid w:val="20721F9A"/>
    <w:rsid w:val="20E26732"/>
    <w:rsid w:val="219F49B8"/>
    <w:rsid w:val="26296BB1"/>
    <w:rsid w:val="26FE586A"/>
    <w:rsid w:val="281F2F05"/>
    <w:rsid w:val="2AC645A1"/>
    <w:rsid w:val="2B937E61"/>
    <w:rsid w:val="2DDD6750"/>
    <w:rsid w:val="312D57A8"/>
    <w:rsid w:val="34E83B0D"/>
    <w:rsid w:val="358746A6"/>
    <w:rsid w:val="3673340E"/>
    <w:rsid w:val="389A583B"/>
    <w:rsid w:val="39221294"/>
    <w:rsid w:val="39402CAF"/>
    <w:rsid w:val="3A2E6000"/>
    <w:rsid w:val="3BF868F0"/>
    <w:rsid w:val="3CE51963"/>
    <w:rsid w:val="41623800"/>
    <w:rsid w:val="41633C13"/>
    <w:rsid w:val="469760C4"/>
    <w:rsid w:val="46983A1B"/>
    <w:rsid w:val="46C40504"/>
    <w:rsid w:val="49DA1B63"/>
    <w:rsid w:val="4A23175A"/>
    <w:rsid w:val="4CC21A13"/>
    <w:rsid w:val="4D496B28"/>
    <w:rsid w:val="4E0B4A70"/>
    <w:rsid w:val="50FE66CF"/>
    <w:rsid w:val="51A2446A"/>
    <w:rsid w:val="51A51876"/>
    <w:rsid w:val="51E91360"/>
    <w:rsid w:val="535E3F57"/>
    <w:rsid w:val="53653797"/>
    <w:rsid w:val="53E64028"/>
    <w:rsid w:val="54ED0C26"/>
    <w:rsid w:val="55777D52"/>
    <w:rsid w:val="56074462"/>
    <w:rsid w:val="56F02FC8"/>
    <w:rsid w:val="589A10C5"/>
    <w:rsid w:val="59B77A55"/>
    <w:rsid w:val="5AED3A42"/>
    <w:rsid w:val="5BE82147"/>
    <w:rsid w:val="5C9179B0"/>
    <w:rsid w:val="5D230E6D"/>
    <w:rsid w:val="5F3B485A"/>
    <w:rsid w:val="612D7B03"/>
    <w:rsid w:val="617E734A"/>
    <w:rsid w:val="62B8761E"/>
    <w:rsid w:val="630373F7"/>
    <w:rsid w:val="64437E60"/>
    <w:rsid w:val="65D85F29"/>
    <w:rsid w:val="67052D30"/>
    <w:rsid w:val="67973A74"/>
    <w:rsid w:val="699B37A5"/>
    <w:rsid w:val="6A704969"/>
    <w:rsid w:val="6ABD25D7"/>
    <w:rsid w:val="6B1E0CEB"/>
    <w:rsid w:val="6DD32C57"/>
    <w:rsid w:val="6FD8589E"/>
    <w:rsid w:val="727E6F0A"/>
    <w:rsid w:val="737971AF"/>
    <w:rsid w:val="73F73418"/>
    <w:rsid w:val="74277859"/>
    <w:rsid w:val="74307389"/>
    <w:rsid w:val="749D4ED3"/>
    <w:rsid w:val="74D23FB8"/>
    <w:rsid w:val="76835F36"/>
    <w:rsid w:val="76EB03E0"/>
    <w:rsid w:val="77847EA0"/>
    <w:rsid w:val="77B6705B"/>
    <w:rsid w:val="78EF3908"/>
    <w:rsid w:val="7AED2B18"/>
    <w:rsid w:val="7E375D7F"/>
    <w:rsid w:val="7E747B3F"/>
    <w:rsid w:val="7F4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6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文本1"/>
    <w:basedOn w:val="1"/>
    <w:next w:val="1"/>
    <w:qFormat/>
    <w:uiPriority w:val="99"/>
    <w:pPr>
      <w:spacing w:after="120"/>
    </w:pPr>
    <w:rPr>
      <w:sz w:val="24"/>
      <w:szCs w:val="24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字符"/>
    <w:basedOn w:val="12"/>
    <w:link w:val="2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61"/>
    <w:basedOn w:val="12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3">
    <w:name w:val="font51"/>
    <w:basedOn w:val="12"/>
    <w:qFormat/>
    <w:uiPriority w:val="0"/>
    <w:rPr>
      <w:rFonts w:hint="eastAsia" w:ascii="宋体" w:hAnsi="宋体" w:eastAsia="宋体" w:cs="宋体"/>
      <w:color w:val="0070C0"/>
      <w:sz w:val="16"/>
      <w:szCs w:val="16"/>
      <w:u w:val="none"/>
    </w:rPr>
  </w:style>
  <w:style w:type="character" w:customStyle="1" w:styleId="24">
    <w:name w:val="font161"/>
    <w:basedOn w:val="12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25">
    <w:name w:val="font4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191"/>
    <w:basedOn w:val="12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7">
    <w:name w:val="15"/>
    <w:basedOn w:val="12"/>
    <w:qFormat/>
    <w:uiPriority w:val="0"/>
    <w:rPr>
      <w:rFonts w:hint="eastAsia" w:ascii="宋体" w:hAnsi="宋体" w:eastAsia="宋体"/>
      <w:color w:val="333333"/>
      <w:sz w:val="18"/>
      <w:szCs w:val="18"/>
    </w:rPr>
  </w:style>
  <w:style w:type="character" w:customStyle="1" w:styleId="28">
    <w:name w:val="font01"/>
    <w:basedOn w:val="12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29">
    <w:name w:val="font131"/>
    <w:basedOn w:val="1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0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112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">
    <w:name w:val="font121"/>
    <w:basedOn w:val="12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35">
    <w:name w:val="font8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17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7">
    <w:name w:val="font181"/>
    <w:basedOn w:val="12"/>
    <w:qFormat/>
    <w:uiPriority w:val="0"/>
    <w:rPr>
      <w:rFonts w:ascii="Segoe UI Symbol" w:hAnsi="Segoe UI Symbol" w:eastAsia="Segoe UI Symbol" w:cs="Segoe UI Symbol"/>
      <w:color w:val="000000"/>
      <w:sz w:val="20"/>
      <w:szCs w:val="20"/>
      <w:u w:val="none"/>
    </w:rPr>
  </w:style>
  <w:style w:type="character" w:customStyle="1" w:styleId="38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3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1630</Words>
  <Characters>2022</Characters>
  <Lines>76</Lines>
  <Paragraphs>21</Paragraphs>
  <TotalTime>6</TotalTime>
  <ScaleCrop>false</ScaleCrop>
  <LinksUpToDate>false</LinksUpToDate>
  <CharactersWithSpaces>2069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2024-05-10T15:13:00Z</dcterms:created>
  <dc:creator>chendl</dc:creator>
  <cp:lastModifiedBy>Lenovo</cp:lastModifiedBy>
  <dcterms:modified xsi:type="dcterms:W3CDTF">2025-04-15T03:21:23Z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5542316BA3D14031A945DDF986F6C2D4_13</vt:lpwstr>
  </property>
  <property fmtid="{D5CDD505-2E9C-101B-9397-08002B2CF9AE}" pid="4" name="KSOTemplateDocerSaveRecord">
    <vt:lpwstr>eyJoZGlkIjoiOTNjZmMzNDc5ODJmMjU3ZjcxZmY1NjcyZmFlZmRhNzUiLCJ1c2VySWQiOiI0MzI0MDk4OTMifQ==</vt:lpwstr>
  </property>
</Properties>
</file>