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C6DBB5">
      <w:pPr>
        <w:jc w:val="center"/>
      </w:pPr>
      <w:r>
        <w:rPr>
          <w:rFonts w:hint="eastAsia" w:asciiTheme="majorEastAsia" w:hAnsiTheme="majorEastAsia" w:eastAsiaTheme="majorEastAsia" w:cstheme="majorEastAsia"/>
          <w:b/>
          <w:sz w:val="36"/>
          <w:szCs w:val="36"/>
        </w:rPr>
        <w:t>启东市英邦小学</w:t>
      </w:r>
      <w:r>
        <w:rPr>
          <w:rFonts w:hint="eastAsia" w:cs="Times New Roman"/>
          <w:b/>
          <w:bCs/>
          <w:sz w:val="36"/>
          <w:szCs w:val="36"/>
        </w:rPr>
        <w:t>操场围网</w:t>
      </w:r>
      <w:r>
        <w:rPr>
          <w:rFonts w:hint="eastAsia" w:asciiTheme="majorEastAsia" w:hAnsiTheme="majorEastAsia" w:eastAsiaTheme="majorEastAsia" w:cstheme="majorEastAsia"/>
          <w:b/>
          <w:sz w:val="36"/>
          <w:szCs w:val="36"/>
        </w:rPr>
        <w:t>项目采购询价公告</w:t>
      </w:r>
    </w:p>
    <w:p w14:paraId="2BD414D3">
      <w:pPr>
        <w:pStyle w:val="9"/>
        <w:spacing w:before="0" w:beforeAutospacing="0" w:after="0" w:afterAutospacing="0" w:line="360" w:lineRule="auto"/>
        <w:ind w:left="106" w:firstLine="560"/>
        <w:rPr>
          <w:rFonts w:hint="eastAsia" w:eastAsia="宋体"/>
          <w:b/>
          <w:sz w:val="30"/>
          <w:szCs w:val="30"/>
        </w:rPr>
      </w:pPr>
      <w:r>
        <w:rPr>
          <w:rFonts w:hint="eastAsia" w:eastAsia="宋体"/>
          <w:b/>
          <w:kern w:val="2"/>
          <w:szCs w:val="30"/>
        </w:rPr>
        <w:t>启东市英邦小学根据启东市政府采购管理的有关规定，就启东市英邦小学操场围网采购进行询价</w:t>
      </w:r>
      <w:r>
        <w:rPr>
          <w:rFonts w:hint="eastAsia" w:eastAsia="宋体"/>
          <w:b/>
          <w:kern w:val="2"/>
          <w:szCs w:val="30"/>
          <w:lang w:val="en-US" w:eastAsia="zh-CN"/>
        </w:rPr>
        <w:t>采购</w:t>
      </w:r>
      <w:r>
        <w:rPr>
          <w:rFonts w:hint="eastAsia" w:eastAsia="宋体"/>
          <w:b/>
          <w:kern w:val="2"/>
          <w:szCs w:val="30"/>
        </w:rPr>
        <w:t>(详细内容见采购货物清单)。</w:t>
      </w:r>
    </w:p>
    <w:p w14:paraId="27ABF6D9">
      <w:pPr>
        <w:widowControl/>
        <w:jc w:val="left"/>
        <w:textAlignment w:val="center"/>
        <w:rPr>
          <w:rFonts w:hint="eastAsia" w:asciiTheme="minorEastAsia" w:hAnsiTheme="minorEastAsia" w:cstheme="minorEastAsia"/>
          <w:color w:val="000000"/>
          <w:kern w:val="0"/>
          <w:sz w:val="24"/>
          <w:lang w:bidi="ar"/>
        </w:rPr>
      </w:pPr>
      <w:r>
        <w:rPr>
          <w:rFonts w:hint="eastAsia" w:ascii="宋体" w:hAnsi="宋体" w:eastAsia="宋体" w:cs="宋体"/>
          <w:b/>
          <w:sz w:val="24"/>
          <w:szCs w:val="30"/>
        </w:rPr>
        <w:t>采购货物清单及要求</w:t>
      </w:r>
    </w:p>
    <w:tbl>
      <w:tblPr>
        <w:tblStyle w:val="13"/>
        <w:tblpPr w:leftFromText="180" w:rightFromText="180" w:vertAnchor="text" w:tblpY="1"/>
        <w:tblOverlap w:val="never"/>
        <w:tblW w:w="8986" w:type="dxa"/>
        <w:tblInd w:w="0" w:type="dxa"/>
        <w:tblLayout w:type="fixed"/>
        <w:tblCellMar>
          <w:top w:w="0" w:type="dxa"/>
          <w:left w:w="108" w:type="dxa"/>
          <w:bottom w:w="0" w:type="dxa"/>
          <w:right w:w="108" w:type="dxa"/>
        </w:tblCellMar>
      </w:tblPr>
      <w:tblGrid>
        <w:gridCol w:w="680"/>
        <w:gridCol w:w="1420"/>
        <w:gridCol w:w="4963"/>
        <w:gridCol w:w="886"/>
        <w:gridCol w:w="1037"/>
      </w:tblGrid>
      <w:tr w14:paraId="588914BF">
        <w:tblPrEx>
          <w:tblCellMar>
            <w:top w:w="0" w:type="dxa"/>
            <w:left w:w="108" w:type="dxa"/>
            <w:bottom w:w="0" w:type="dxa"/>
            <w:right w:w="108" w:type="dxa"/>
          </w:tblCellMar>
        </w:tblPrEx>
        <w:trPr>
          <w:trHeight w:val="280" w:hRule="atLeast"/>
        </w:trPr>
        <w:tc>
          <w:tcPr>
            <w:tcW w:w="680" w:type="dxa"/>
            <w:tcBorders>
              <w:top w:val="single" w:color="auto" w:sz="4" w:space="0"/>
              <w:left w:val="single" w:color="auto" w:sz="4" w:space="0"/>
              <w:bottom w:val="single" w:color="auto" w:sz="4" w:space="0"/>
              <w:right w:val="single" w:color="auto" w:sz="4" w:space="0"/>
            </w:tcBorders>
            <w:noWrap/>
            <w:vAlign w:val="center"/>
          </w:tcPr>
          <w:p w14:paraId="022ED754">
            <w:pPr>
              <w:widowControl/>
              <w:jc w:val="left"/>
              <w:textAlignment w:val="center"/>
              <w:rPr>
                <w:rFonts w:hint="eastAsia" w:asciiTheme="majorEastAsia" w:hAnsiTheme="majorEastAsia" w:eastAsiaTheme="majorEastAsia" w:cstheme="majorEastAsia"/>
                <w:color w:val="000000"/>
                <w:kern w:val="0"/>
                <w:sz w:val="24"/>
                <w:szCs w:val="24"/>
                <w:lang w:bidi="ar"/>
              </w:rPr>
            </w:pPr>
            <w:r>
              <w:rPr>
                <w:rFonts w:hint="eastAsia" w:asciiTheme="majorEastAsia" w:hAnsiTheme="majorEastAsia" w:eastAsiaTheme="majorEastAsia" w:cstheme="majorEastAsia"/>
                <w:color w:val="000000"/>
                <w:kern w:val="0"/>
                <w:sz w:val="24"/>
                <w:szCs w:val="24"/>
                <w:lang w:bidi="ar"/>
              </w:rPr>
              <w:t>序号</w:t>
            </w:r>
          </w:p>
        </w:tc>
        <w:tc>
          <w:tcPr>
            <w:tcW w:w="1420" w:type="dxa"/>
            <w:tcBorders>
              <w:top w:val="single" w:color="auto" w:sz="4" w:space="0"/>
              <w:left w:val="nil"/>
              <w:bottom w:val="single" w:color="auto" w:sz="4" w:space="0"/>
              <w:right w:val="single" w:color="auto" w:sz="4" w:space="0"/>
            </w:tcBorders>
            <w:noWrap/>
            <w:vAlign w:val="center"/>
          </w:tcPr>
          <w:p w14:paraId="3772FCE4">
            <w:pPr>
              <w:widowControl/>
              <w:jc w:val="left"/>
              <w:textAlignment w:val="center"/>
              <w:rPr>
                <w:rFonts w:hint="eastAsia" w:asciiTheme="majorEastAsia" w:hAnsiTheme="majorEastAsia" w:eastAsiaTheme="majorEastAsia" w:cstheme="majorEastAsia"/>
                <w:color w:val="000000"/>
                <w:kern w:val="0"/>
                <w:sz w:val="24"/>
                <w:szCs w:val="24"/>
                <w:lang w:bidi="ar"/>
              </w:rPr>
            </w:pPr>
            <w:r>
              <w:rPr>
                <w:rFonts w:hint="eastAsia" w:asciiTheme="majorEastAsia" w:hAnsiTheme="majorEastAsia" w:eastAsiaTheme="majorEastAsia" w:cstheme="majorEastAsia"/>
                <w:color w:val="000000"/>
                <w:kern w:val="0"/>
                <w:sz w:val="24"/>
                <w:szCs w:val="24"/>
                <w:lang w:bidi="ar"/>
              </w:rPr>
              <w:t>采购物品名称</w:t>
            </w:r>
          </w:p>
        </w:tc>
        <w:tc>
          <w:tcPr>
            <w:tcW w:w="4963" w:type="dxa"/>
            <w:tcBorders>
              <w:top w:val="single" w:color="auto" w:sz="4" w:space="0"/>
              <w:left w:val="nil"/>
              <w:bottom w:val="single" w:color="auto" w:sz="4" w:space="0"/>
              <w:right w:val="single" w:color="auto" w:sz="4" w:space="0"/>
            </w:tcBorders>
            <w:noWrap/>
            <w:vAlign w:val="center"/>
          </w:tcPr>
          <w:p w14:paraId="01ED6D4A">
            <w:pPr>
              <w:widowControl/>
              <w:jc w:val="left"/>
              <w:textAlignment w:val="center"/>
              <w:rPr>
                <w:rFonts w:hint="eastAsia" w:asciiTheme="majorEastAsia" w:hAnsiTheme="majorEastAsia" w:eastAsiaTheme="majorEastAsia" w:cstheme="majorEastAsia"/>
                <w:color w:val="000000"/>
                <w:kern w:val="0"/>
                <w:sz w:val="24"/>
                <w:szCs w:val="24"/>
                <w:lang w:bidi="ar"/>
              </w:rPr>
            </w:pPr>
            <w:r>
              <w:rPr>
                <w:rFonts w:hint="eastAsia" w:asciiTheme="majorEastAsia" w:hAnsiTheme="majorEastAsia" w:eastAsiaTheme="majorEastAsia" w:cstheme="majorEastAsia"/>
                <w:color w:val="000000"/>
                <w:kern w:val="0"/>
                <w:sz w:val="24"/>
                <w:szCs w:val="24"/>
                <w:lang w:bidi="ar"/>
              </w:rPr>
              <w:t>规格</w:t>
            </w:r>
          </w:p>
        </w:tc>
        <w:tc>
          <w:tcPr>
            <w:tcW w:w="886" w:type="dxa"/>
            <w:tcBorders>
              <w:top w:val="single" w:color="auto" w:sz="4" w:space="0"/>
              <w:left w:val="nil"/>
              <w:bottom w:val="single" w:color="auto" w:sz="4" w:space="0"/>
              <w:right w:val="single" w:color="auto" w:sz="4" w:space="0"/>
            </w:tcBorders>
            <w:noWrap/>
            <w:vAlign w:val="center"/>
          </w:tcPr>
          <w:p w14:paraId="4C3EB872">
            <w:pPr>
              <w:widowControl/>
              <w:jc w:val="left"/>
              <w:textAlignment w:val="center"/>
              <w:rPr>
                <w:rFonts w:hint="eastAsia" w:asciiTheme="majorEastAsia" w:hAnsiTheme="majorEastAsia" w:eastAsiaTheme="majorEastAsia" w:cstheme="majorEastAsia"/>
                <w:color w:val="000000"/>
                <w:kern w:val="0"/>
                <w:sz w:val="24"/>
                <w:szCs w:val="24"/>
                <w:lang w:bidi="ar"/>
              </w:rPr>
            </w:pPr>
            <w:r>
              <w:rPr>
                <w:rFonts w:hint="eastAsia" w:asciiTheme="majorEastAsia" w:hAnsiTheme="majorEastAsia" w:eastAsiaTheme="majorEastAsia" w:cstheme="majorEastAsia"/>
                <w:color w:val="000000"/>
                <w:kern w:val="0"/>
                <w:sz w:val="24"/>
                <w:szCs w:val="24"/>
                <w:lang w:bidi="ar"/>
              </w:rPr>
              <w:t>数量</w:t>
            </w:r>
          </w:p>
        </w:tc>
        <w:tc>
          <w:tcPr>
            <w:tcW w:w="1037" w:type="dxa"/>
            <w:tcBorders>
              <w:top w:val="single" w:color="auto" w:sz="4" w:space="0"/>
              <w:left w:val="nil"/>
              <w:bottom w:val="single" w:color="auto" w:sz="4" w:space="0"/>
              <w:right w:val="single" w:color="auto" w:sz="4" w:space="0"/>
            </w:tcBorders>
            <w:noWrap/>
            <w:vAlign w:val="center"/>
          </w:tcPr>
          <w:p w14:paraId="425D7E38">
            <w:pPr>
              <w:widowControl/>
              <w:jc w:val="left"/>
              <w:textAlignment w:val="center"/>
              <w:rPr>
                <w:rFonts w:hint="eastAsia" w:asciiTheme="majorEastAsia" w:hAnsiTheme="majorEastAsia" w:eastAsiaTheme="majorEastAsia" w:cstheme="majorEastAsia"/>
                <w:color w:val="000000"/>
                <w:kern w:val="0"/>
                <w:sz w:val="24"/>
                <w:szCs w:val="24"/>
                <w:lang w:bidi="ar"/>
              </w:rPr>
            </w:pPr>
            <w:r>
              <w:rPr>
                <w:rFonts w:hint="eastAsia" w:asciiTheme="majorEastAsia" w:hAnsiTheme="majorEastAsia" w:eastAsiaTheme="majorEastAsia" w:cstheme="majorEastAsia"/>
                <w:color w:val="000000"/>
                <w:kern w:val="0"/>
                <w:sz w:val="24"/>
                <w:szCs w:val="24"/>
                <w:lang w:bidi="ar"/>
              </w:rPr>
              <w:t>单位</w:t>
            </w:r>
          </w:p>
        </w:tc>
      </w:tr>
      <w:tr w14:paraId="67429A75">
        <w:tblPrEx>
          <w:tblCellMar>
            <w:top w:w="0" w:type="dxa"/>
            <w:left w:w="108" w:type="dxa"/>
            <w:bottom w:w="0" w:type="dxa"/>
            <w:right w:w="108" w:type="dxa"/>
          </w:tblCellMar>
        </w:tblPrEx>
        <w:trPr>
          <w:trHeight w:val="2117" w:hRule="atLeast"/>
        </w:trPr>
        <w:tc>
          <w:tcPr>
            <w:tcW w:w="680" w:type="dxa"/>
            <w:tcBorders>
              <w:top w:val="nil"/>
              <w:left w:val="single" w:color="auto" w:sz="4" w:space="0"/>
              <w:bottom w:val="single" w:color="auto" w:sz="4" w:space="0"/>
              <w:right w:val="single" w:color="auto" w:sz="4" w:space="0"/>
            </w:tcBorders>
            <w:noWrap/>
            <w:vAlign w:val="center"/>
          </w:tcPr>
          <w:p w14:paraId="04853B3B">
            <w:pPr>
              <w:widowControl/>
              <w:jc w:val="left"/>
              <w:textAlignment w:val="center"/>
              <w:rPr>
                <w:rFonts w:hint="eastAsia" w:asciiTheme="majorEastAsia" w:hAnsiTheme="majorEastAsia" w:eastAsiaTheme="majorEastAsia" w:cstheme="majorEastAsia"/>
                <w:color w:val="000000"/>
                <w:kern w:val="0"/>
                <w:sz w:val="24"/>
                <w:szCs w:val="24"/>
                <w:lang w:bidi="ar"/>
              </w:rPr>
            </w:pPr>
            <w:r>
              <w:rPr>
                <w:rFonts w:hint="eastAsia" w:asciiTheme="majorEastAsia" w:hAnsiTheme="majorEastAsia" w:eastAsiaTheme="majorEastAsia" w:cstheme="majorEastAsia"/>
                <w:color w:val="000000"/>
                <w:kern w:val="0"/>
                <w:sz w:val="24"/>
                <w:szCs w:val="24"/>
                <w:lang w:bidi="ar"/>
              </w:rPr>
              <w:t>1</w:t>
            </w:r>
          </w:p>
        </w:tc>
        <w:tc>
          <w:tcPr>
            <w:tcW w:w="1420" w:type="dxa"/>
            <w:tcBorders>
              <w:top w:val="nil"/>
              <w:left w:val="nil"/>
              <w:bottom w:val="single" w:color="auto" w:sz="4" w:space="0"/>
              <w:right w:val="single" w:color="auto" w:sz="4" w:space="0"/>
            </w:tcBorders>
            <w:noWrap/>
            <w:vAlign w:val="center"/>
          </w:tcPr>
          <w:p w14:paraId="461717E6">
            <w:pPr>
              <w:widowControl/>
              <w:jc w:val="left"/>
              <w:textAlignment w:val="center"/>
              <w:rPr>
                <w:rFonts w:hint="eastAsia" w:asciiTheme="majorEastAsia" w:hAnsiTheme="majorEastAsia" w:eastAsiaTheme="majorEastAsia" w:cstheme="majorEastAsia"/>
                <w:color w:val="000000"/>
                <w:kern w:val="0"/>
                <w:sz w:val="24"/>
                <w:szCs w:val="24"/>
                <w:lang w:bidi="ar"/>
              </w:rPr>
            </w:pPr>
            <w:r>
              <w:rPr>
                <w:rFonts w:hint="eastAsia" w:asciiTheme="majorEastAsia" w:hAnsiTheme="majorEastAsia" w:eastAsiaTheme="majorEastAsia" w:cstheme="majorEastAsia"/>
                <w:color w:val="000000"/>
                <w:kern w:val="0"/>
                <w:sz w:val="24"/>
                <w:szCs w:val="24"/>
                <w:lang w:bidi="ar"/>
              </w:rPr>
              <w:t>球场围网</w:t>
            </w:r>
          </w:p>
        </w:tc>
        <w:tc>
          <w:tcPr>
            <w:tcW w:w="4963" w:type="dxa"/>
            <w:tcBorders>
              <w:top w:val="nil"/>
              <w:left w:val="nil"/>
              <w:bottom w:val="single" w:color="auto" w:sz="4" w:space="0"/>
              <w:right w:val="single" w:color="auto" w:sz="4" w:space="0"/>
            </w:tcBorders>
            <w:noWrap/>
            <w:vAlign w:val="center"/>
          </w:tcPr>
          <w:p w14:paraId="5656A09F">
            <w:pPr>
              <w:widowControl/>
              <w:jc w:val="left"/>
              <w:textAlignment w:val="center"/>
              <w:rPr>
                <w:rFonts w:hint="eastAsia" w:asciiTheme="majorEastAsia" w:hAnsiTheme="majorEastAsia" w:eastAsiaTheme="majorEastAsia" w:cstheme="majorEastAsia"/>
                <w:color w:val="000000"/>
                <w:kern w:val="0"/>
                <w:sz w:val="24"/>
                <w:szCs w:val="24"/>
                <w:lang w:bidi="ar"/>
              </w:rPr>
            </w:pPr>
            <w:r>
              <w:rPr>
                <w:rFonts w:hint="eastAsia" w:asciiTheme="majorEastAsia" w:hAnsiTheme="majorEastAsia" w:eastAsiaTheme="majorEastAsia" w:cstheme="majorEastAsia"/>
                <w:color w:val="000000"/>
                <w:kern w:val="0"/>
                <w:sz w:val="24"/>
                <w:szCs w:val="24"/>
                <w:lang w:bidi="ar"/>
              </w:rPr>
              <w:t>1、围网尺寸：围网整体高度为4米，宽度为3米，适用于大多数标准球场的围栏需求，能够有效确保场地的安全。</w:t>
            </w:r>
            <w:r>
              <w:rPr>
                <w:rFonts w:hint="eastAsia" w:asciiTheme="majorEastAsia" w:hAnsiTheme="majorEastAsia" w:eastAsiaTheme="majorEastAsia" w:cstheme="majorEastAsia"/>
                <w:color w:val="000000"/>
                <w:kern w:val="0"/>
                <w:sz w:val="24"/>
                <w:szCs w:val="24"/>
                <w:lang w:bidi="ar"/>
              </w:rPr>
              <w:br w:type="textWrapping"/>
            </w:r>
            <w:r>
              <w:rPr>
                <w:rFonts w:hint="eastAsia" w:asciiTheme="majorEastAsia" w:hAnsiTheme="majorEastAsia" w:eastAsiaTheme="majorEastAsia" w:cstheme="majorEastAsia"/>
                <w:color w:val="000000"/>
                <w:kern w:val="0"/>
                <w:sz w:val="24"/>
                <w:szCs w:val="24"/>
                <w:lang w:bidi="ar"/>
              </w:rPr>
              <w:t>2、边框材料：围网的边框采用高强度</w:t>
            </w:r>
            <w:r>
              <w:rPr>
                <w:rFonts w:hint="eastAsia" w:asciiTheme="majorEastAsia" w:hAnsiTheme="majorEastAsia" w:eastAsiaTheme="majorEastAsia" w:cstheme="majorEastAsia"/>
                <w:color w:val="000000"/>
                <w:kern w:val="0"/>
                <w:sz w:val="24"/>
                <w:szCs w:val="24"/>
                <w:lang w:val="en-US" w:eastAsia="zh-CN" w:bidi="ar"/>
              </w:rPr>
              <w:t>热</w:t>
            </w:r>
            <w:r>
              <w:rPr>
                <w:rFonts w:hint="eastAsia" w:asciiTheme="majorEastAsia" w:hAnsiTheme="majorEastAsia" w:eastAsiaTheme="majorEastAsia" w:cstheme="majorEastAsia"/>
                <w:color w:val="000000"/>
                <w:kern w:val="0"/>
                <w:sz w:val="24"/>
                <w:szCs w:val="24"/>
                <w:lang w:bidi="ar"/>
              </w:rPr>
              <w:t>镀锌</w:t>
            </w:r>
            <w:r>
              <w:rPr>
                <w:rFonts w:hint="eastAsia" w:asciiTheme="majorEastAsia" w:hAnsiTheme="majorEastAsia" w:eastAsiaTheme="majorEastAsia" w:cstheme="majorEastAsia"/>
                <w:color w:val="000000"/>
                <w:kern w:val="0"/>
                <w:sz w:val="24"/>
                <w:szCs w:val="24"/>
                <w:lang w:val="en-US" w:eastAsia="zh-CN" w:bidi="ar"/>
              </w:rPr>
              <w:t>凹形</w:t>
            </w:r>
            <w:r>
              <w:rPr>
                <w:rFonts w:hint="eastAsia" w:asciiTheme="majorEastAsia" w:hAnsiTheme="majorEastAsia" w:eastAsiaTheme="majorEastAsia" w:cstheme="majorEastAsia"/>
                <w:color w:val="000000"/>
                <w:kern w:val="0"/>
                <w:sz w:val="24"/>
                <w:szCs w:val="24"/>
                <w:lang w:bidi="ar"/>
              </w:rPr>
              <w:t>方管，规格为40mm* 60mm* 2mm。</w:t>
            </w:r>
            <w:r>
              <w:rPr>
                <w:rFonts w:hint="eastAsia" w:asciiTheme="majorEastAsia" w:hAnsiTheme="majorEastAsia" w:eastAsiaTheme="majorEastAsia" w:cstheme="majorEastAsia"/>
                <w:color w:val="000000"/>
                <w:kern w:val="0"/>
                <w:sz w:val="24"/>
                <w:szCs w:val="24"/>
                <w:lang w:val="en-US" w:eastAsia="zh-CN" w:bidi="ar"/>
              </w:rPr>
              <w:t>热</w:t>
            </w:r>
            <w:r>
              <w:rPr>
                <w:rFonts w:hint="eastAsia" w:asciiTheme="majorEastAsia" w:hAnsiTheme="majorEastAsia" w:eastAsiaTheme="majorEastAsia" w:cstheme="majorEastAsia"/>
                <w:color w:val="000000"/>
                <w:kern w:val="0"/>
                <w:sz w:val="24"/>
                <w:szCs w:val="24"/>
                <w:lang w:bidi="ar"/>
              </w:rPr>
              <w:t>镀锌管具有出色的防腐蚀能力，能够在户外环境中长期使用，避免生锈与损坏，确保围网的稳定性和耐用性。</w:t>
            </w:r>
            <w:r>
              <w:rPr>
                <w:rFonts w:hint="eastAsia" w:asciiTheme="majorEastAsia" w:hAnsiTheme="majorEastAsia" w:eastAsiaTheme="majorEastAsia" w:cstheme="majorEastAsia"/>
                <w:color w:val="000000"/>
                <w:kern w:val="0"/>
                <w:sz w:val="24"/>
                <w:szCs w:val="24"/>
                <w:lang w:bidi="ar"/>
              </w:rPr>
              <w:br w:type="textWrapping"/>
            </w:r>
            <w:r>
              <w:rPr>
                <w:rFonts w:hint="eastAsia" w:asciiTheme="majorEastAsia" w:hAnsiTheme="majorEastAsia" w:eastAsiaTheme="majorEastAsia" w:cstheme="majorEastAsia"/>
                <w:color w:val="000000"/>
                <w:kern w:val="0"/>
                <w:sz w:val="24"/>
                <w:szCs w:val="24"/>
                <w:lang w:bidi="ar"/>
              </w:rPr>
              <w:t>3、围网结构：网面采用双夹丝热镀锌焊接网设计，网丝直径为5mm + 5mm + 5mm，具有良好的强度与韧性，能够有效承受外力撞击，防止网面破损或变形。</w:t>
            </w:r>
            <w:r>
              <w:rPr>
                <w:rFonts w:hint="eastAsia" w:asciiTheme="majorEastAsia" w:hAnsiTheme="majorEastAsia" w:eastAsiaTheme="majorEastAsia" w:cstheme="majorEastAsia"/>
                <w:color w:val="000000"/>
                <w:kern w:val="0"/>
                <w:sz w:val="24"/>
                <w:szCs w:val="24"/>
                <w:lang w:bidi="ar"/>
              </w:rPr>
              <w:br w:type="textWrapping"/>
            </w:r>
            <w:r>
              <w:rPr>
                <w:rFonts w:hint="eastAsia" w:asciiTheme="majorEastAsia" w:hAnsiTheme="majorEastAsia" w:eastAsiaTheme="majorEastAsia" w:cstheme="majorEastAsia"/>
                <w:color w:val="000000"/>
                <w:kern w:val="0"/>
                <w:sz w:val="24"/>
                <w:szCs w:val="24"/>
                <w:lang w:bidi="ar"/>
              </w:rPr>
              <w:t>4、网孔尺寸：网孔尺寸为</w:t>
            </w:r>
            <w:r>
              <w:rPr>
                <w:rFonts w:hint="eastAsia" w:asciiTheme="majorEastAsia" w:hAnsiTheme="majorEastAsia" w:eastAsiaTheme="majorEastAsia" w:cstheme="majorEastAsia"/>
                <w:color w:val="000000"/>
                <w:kern w:val="0"/>
                <w:sz w:val="24"/>
                <w:szCs w:val="24"/>
                <w:lang w:val="en-US" w:eastAsia="zh-CN" w:bidi="ar"/>
              </w:rPr>
              <w:t>5.5</w:t>
            </w:r>
            <w:r>
              <w:rPr>
                <w:rFonts w:hint="eastAsia" w:asciiTheme="majorEastAsia" w:hAnsiTheme="majorEastAsia" w:eastAsiaTheme="majorEastAsia" w:cstheme="majorEastAsia"/>
                <w:color w:val="000000"/>
                <w:kern w:val="0"/>
                <w:sz w:val="24"/>
                <w:szCs w:val="24"/>
                <w:lang w:bidi="ar"/>
              </w:rPr>
              <w:t>cm* 20cm，网孔大小合理，既能确保视野通透，又能有效防止物体或人员穿越，增强安全性。</w:t>
            </w:r>
            <w:r>
              <w:rPr>
                <w:rFonts w:hint="eastAsia" w:asciiTheme="majorEastAsia" w:hAnsiTheme="majorEastAsia" w:eastAsiaTheme="majorEastAsia" w:cstheme="majorEastAsia"/>
                <w:color w:val="000000"/>
                <w:kern w:val="0"/>
                <w:sz w:val="24"/>
                <w:szCs w:val="24"/>
                <w:lang w:bidi="ar"/>
              </w:rPr>
              <w:br w:type="textWrapping"/>
            </w:r>
            <w:r>
              <w:rPr>
                <w:rFonts w:hint="eastAsia" w:asciiTheme="majorEastAsia" w:hAnsiTheme="majorEastAsia" w:eastAsiaTheme="majorEastAsia" w:cstheme="majorEastAsia"/>
                <w:color w:val="000000"/>
                <w:kern w:val="0"/>
                <w:sz w:val="24"/>
                <w:szCs w:val="24"/>
                <w:lang w:bidi="ar"/>
              </w:rPr>
              <w:t>5、表面处理：围网表面经过高温静电喷涂处理，颜色为墨绿色。高温静电喷涂可有效提高围网的抗紫外线、抗腐蚀能力，延长使用寿命，同时墨绿色的色调有较好的视觉协调性，适合大多数户外运动场地的环境。</w:t>
            </w:r>
          </w:p>
        </w:tc>
        <w:tc>
          <w:tcPr>
            <w:tcW w:w="886" w:type="dxa"/>
            <w:tcBorders>
              <w:top w:val="nil"/>
              <w:left w:val="nil"/>
              <w:bottom w:val="single" w:color="auto" w:sz="4" w:space="0"/>
              <w:right w:val="single" w:color="auto" w:sz="4" w:space="0"/>
            </w:tcBorders>
            <w:noWrap/>
            <w:vAlign w:val="center"/>
          </w:tcPr>
          <w:p w14:paraId="3CFDD77A">
            <w:pPr>
              <w:widowControl/>
              <w:jc w:val="left"/>
              <w:textAlignment w:val="center"/>
              <w:rPr>
                <w:rFonts w:hint="eastAsia" w:asciiTheme="majorEastAsia" w:hAnsiTheme="majorEastAsia" w:eastAsiaTheme="majorEastAsia" w:cstheme="majorEastAsia"/>
                <w:color w:val="000000"/>
                <w:kern w:val="0"/>
                <w:sz w:val="24"/>
                <w:szCs w:val="24"/>
                <w:lang w:bidi="ar"/>
              </w:rPr>
            </w:pPr>
            <w:r>
              <w:rPr>
                <w:rFonts w:hint="eastAsia" w:asciiTheme="majorEastAsia" w:hAnsiTheme="majorEastAsia" w:eastAsiaTheme="majorEastAsia" w:cstheme="majorEastAsia"/>
                <w:color w:val="000000"/>
                <w:kern w:val="0"/>
                <w:sz w:val="24"/>
                <w:szCs w:val="24"/>
                <w:lang w:bidi="ar"/>
              </w:rPr>
              <w:t>1280</w:t>
            </w:r>
          </w:p>
        </w:tc>
        <w:tc>
          <w:tcPr>
            <w:tcW w:w="1037" w:type="dxa"/>
            <w:tcBorders>
              <w:top w:val="nil"/>
              <w:left w:val="nil"/>
              <w:bottom w:val="single" w:color="auto" w:sz="4" w:space="0"/>
              <w:right w:val="single" w:color="auto" w:sz="4" w:space="0"/>
            </w:tcBorders>
            <w:noWrap/>
            <w:vAlign w:val="center"/>
          </w:tcPr>
          <w:p w14:paraId="07E1D78B">
            <w:pPr>
              <w:widowControl/>
              <w:jc w:val="left"/>
              <w:textAlignment w:val="center"/>
              <w:rPr>
                <w:rFonts w:hint="eastAsia" w:asciiTheme="majorEastAsia" w:hAnsiTheme="majorEastAsia" w:eastAsiaTheme="majorEastAsia" w:cstheme="majorEastAsia"/>
                <w:color w:val="000000"/>
                <w:kern w:val="0"/>
                <w:sz w:val="24"/>
                <w:szCs w:val="24"/>
                <w:lang w:bidi="ar"/>
              </w:rPr>
            </w:pPr>
            <w:r>
              <w:rPr>
                <w:rFonts w:hint="eastAsia" w:asciiTheme="majorEastAsia" w:hAnsiTheme="majorEastAsia" w:eastAsiaTheme="majorEastAsia" w:cstheme="majorEastAsia"/>
                <w:color w:val="000000"/>
                <w:kern w:val="0"/>
                <w:sz w:val="24"/>
                <w:szCs w:val="24"/>
                <w:lang w:bidi="ar"/>
              </w:rPr>
              <w:t>平方米</w:t>
            </w:r>
          </w:p>
        </w:tc>
      </w:tr>
      <w:tr w14:paraId="3AE51638">
        <w:tblPrEx>
          <w:tblCellMar>
            <w:top w:w="0" w:type="dxa"/>
            <w:left w:w="108" w:type="dxa"/>
            <w:bottom w:w="0" w:type="dxa"/>
            <w:right w:w="108" w:type="dxa"/>
          </w:tblCellMar>
        </w:tblPrEx>
        <w:trPr>
          <w:trHeight w:val="551" w:hRule="atLeast"/>
        </w:trPr>
        <w:tc>
          <w:tcPr>
            <w:tcW w:w="680" w:type="dxa"/>
            <w:tcBorders>
              <w:top w:val="nil"/>
              <w:left w:val="single" w:color="auto" w:sz="4" w:space="0"/>
              <w:bottom w:val="single" w:color="auto" w:sz="4" w:space="0"/>
              <w:right w:val="single" w:color="auto" w:sz="4" w:space="0"/>
            </w:tcBorders>
            <w:noWrap/>
            <w:vAlign w:val="center"/>
          </w:tcPr>
          <w:p w14:paraId="47D6D1B8">
            <w:pPr>
              <w:widowControl/>
              <w:jc w:val="left"/>
              <w:textAlignment w:val="center"/>
              <w:rPr>
                <w:rFonts w:hint="eastAsia" w:asciiTheme="majorEastAsia" w:hAnsiTheme="majorEastAsia" w:eastAsiaTheme="majorEastAsia" w:cstheme="majorEastAsia"/>
                <w:color w:val="000000"/>
                <w:kern w:val="0"/>
                <w:sz w:val="24"/>
                <w:szCs w:val="24"/>
                <w:lang w:bidi="ar"/>
              </w:rPr>
            </w:pPr>
            <w:r>
              <w:rPr>
                <w:rFonts w:hint="eastAsia" w:asciiTheme="majorEastAsia" w:hAnsiTheme="majorEastAsia" w:eastAsiaTheme="majorEastAsia" w:cstheme="majorEastAsia"/>
                <w:color w:val="000000"/>
                <w:kern w:val="0"/>
                <w:sz w:val="24"/>
                <w:szCs w:val="24"/>
                <w:lang w:bidi="ar"/>
              </w:rPr>
              <w:t>2</w:t>
            </w:r>
          </w:p>
        </w:tc>
        <w:tc>
          <w:tcPr>
            <w:tcW w:w="1420" w:type="dxa"/>
            <w:tcBorders>
              <w:top w:val="nil"/>
              <w:left w:val="nil"/>
              <w:bottom w:val="single" w:color="auto" w:sz="4" w:space="0"/>
              <w:right w:val="single" w:color="auto" w:sz="4" w:space="0"/>
            </w:tcBorders>
            <w:noWrap/>
            <w:vAlign w:val="center"/>
          </w:tcPr>
          <w:p w14:paraId="203A83EB">
            <w:pPr>
              <w:widowControl/>
              <w:jc w:val="left"/>
              <w:textAlignment w:val="center"/>
              <w:rPr>
                <w:rFonts w:hint="eastAsia" w:asciiTheme="majorEastAsia" w:hAnsiTheme="majorEastAsia" w:eastAsiaTheme="majorEastAsia" w:cstheme="majorEastAsia"/>
                <w:color w:val="000000"/>
                <w:kern w:val="0"/>
                <w:sz w:val="24"/>
                <w:szCs w:val="24"/>
                <w:lang w:bidi="ar"/>
              </w:rPr>
            </w:pPr>
            <w:r>
              <w:rPr>
                <w:rFonts w:hint="eastAsia" w:asciiTheme="majorEastAsia" w:hAnsiTheme="majorEastAsia" w:eastAsiaTheme="majorEastAsia" w:cstheme="majorEastAsia"/>
                <w:color w:val="000000"/>
                <w:kern w:val="0"/>
                <w:sz w:val="24"/>
                <w:szCs w:val="24"/>
                <w:lang w:bidi="ar"/>
              </w:rPr>
              <w:t>双开门1</w:t>
            </w:r>
          </w:p>
        </w:tc>
        <w:tc>
          <w:tcPr>
            <w:tcW w:w="4963" w:type="dxa"/>
            <w:tcBorders>
              <w:top w:val="nil"/>
              <w:left w:val="nil"/>
              <w:bottom w:val="single" w:color="auto" w:sz="4" w:space="0"/>
              <w:right w:val="nil"/>
            </w:tcBorders>
            <w:noWrap/>
            <w:vAlign w:val="center"/>
          </w:tcPr>
          <w:p w14:paraId="29BE3DF3">
            <w:pPr>
              <w:widowControl/>
              <w:jc w:val="left"/>
              <w:textAlignment w:val="center"/>
              <w:rPr>
                <w:rFonts w:hint="eastAsia" w:asciiTheme="majorEastAsia" w:hAnsiTheme="majorEastAsia" w:eastAsiaTheme="majorEastAsia" w:cstheme="majorEastAsia"/>
                <w:color w:val="000000"/>
                <w:kern w:val="0"/>
                <w:sz w:val="24"/>
                <w:szCs w:val="24"/>
                <w:lang w:bidi="ar"/>
              </w:rPr>
            </w:pPr>
            <w:r>
              <w:rPr>
                <w:rFonts w:hint="eastAsia" w:asciiTheme="majorEastAsia" w:hAnsiTheme="majorEastAsia" w:eastAsiaTheme="majorEastAsia" w:cstheme="majorEastAsia"/>
                <w:color w:val="000000"/>
                <w:kern w:val="0"/>
                <w:sz w:val="24"/>
                <w:szCs w:val="24"/>
                <w:lang w:bidi="ar"/>
              </w:rPr>
              <w:t>3.</w:t>
            </w:r>
            <w:r>
              <w:rPr>
                <w:rFonts w:hint="eastAsia" w:asciiTheme="majorEastAsia" w:hAnsiTheme="majorEastAsia" w:eastAsiaTheme="majorEastAsia" w:cstheme="majorEastAsia"/>
                <w:color w:val="000000"/>
                <w:kern w:val="0"/>
                <w:sz w:val="24"/>
                <w:szCs w:val="24"/>
                <w:lang w:val="en-US" w:eastAsia="zh-CN" w:bidi="ar"/>
              </w:rPr>
              <w:t>9</w:t>
            </w:r>
            <w:r>
              <w:rPr>
                <w:rFonts w:hint="eastAsia" w:asciiTheme="majorEastAsia" w:hAnsiTheme="majorEastAsia" w:eastAsiaTheme="majorEastAsia" w:cstheme="majorEastAsia"/>
                <w:color w:val="000000"/>
                <w:kern w:val="0"/>
                <w:sz w:val="24"/>
                <w:szCs w:val="24"/>
                <w:lang w:bidi="ar"/>
              </w:rPr>
              <w:t>m</w:t>
            </w:r>
            <w:r>
              <w:rPr>
                <w:rFonts w:hint="eastAsia" w:asciiTheme="majorEastAsia" w:hAnsiTheme="majorEastAsia" w:eastAsiaTheme="majorEastAsia" w:cstheme="majorEastAsia"/>
                <w:color w:val="000000"/>
                <w:kern w:val="0"/>
                <w:sz w:val="24"/>
                <w:szCs w:val="24"/>
                <w:lang w:val="en-US" w:eastAsia="zh-CN" w:bidi="ar"/>
              </w:rPr>
              <w:t>*2.88m</w:t>
            </w:r>
            <w:r>
              <w:rPr>
                <w:rFonts w:hint="eastAsia" w:asciiTheme="majorEastAsia" w:hAnsiTheme="majorEastAsia" w:eastAsiaTheme="majorEastAsia" w:cstheme="majorEastAsia"/>
                <w:color w:val="000000"/>
                <w:kern w:val="0"/>
                <w:sz w:val="24"/>
                <w:szCs w:val="24"/>
                <w:lang w:bidi="ar"/>
              </w:rPr>
              <w:t>宽度双开门。</w:t>
            </w:r>
            <w:r>
              <w:rPr>
                <w:rFonts w:hint="eastAsia" w:asciiTheme="majorEastAsia" w:hAnsiTheme="majorEastAsia" w:eastAsiaTheme="majorEastAsia" w:cstheme="majorEastAsia"/>
                <w:color w:val="000000"/>
                <w:kern w:val="0"/>
                <w:sz w:val="24"/>
                <w:szCs w:val="24"/>
                <w:lang w:bidi="ar"/>
              </w:rPr>
              <w:br w:type="textWrapping"/>
            </w:r>
            <w:r>
              <w:rPr>
                <w:rFonts w:hint="eastAsia" w:asciiTheme="majorEastAsia" w:hAnsiTheme="majorEastAsia" w:eastAsiaTheme="majorEastAsia" w:cstheme="majorEastAsia"/>
                <w:color w:val="000000"/>
                <w:kern w:val="0"/>
                <w:sz w:val="24"/>
                <w:szCs w:val="24"/>
                <w:lang w:bidi="ar"/>
              </w:rPr>
              <w:t>1、门</w:t>
            </w:r>
            <w:r>
              <w:rPr>
                <w:rFonts w:hint="eastAsia" w:asciiTheme="majorEastAsia" w:hAnsiTheme="majorEastAsia" w:eastAsiaTheme="majorEastAsia" w:cstheme="majorEastAsia"/>
                <w:color w:val="000000"/>
                <w:kern w:val="0"/>
                <w:sz w:val="24"/>
                <w:szCs w:val="24"/>
                <w:lang w:val="en-US" w:eastAsia="zh-CN" w:bidi="ar"/>
              </w:rPr>
              <w:t>内</w:t>
            </w:r>
            <w:r>
              <w:rPr>
                <w:rFonts w:hint="eastAsia" w:asciiTheme="majorEastAsia" w:hAnsiTheme="majorEastAsia" w:eastAsiaTheme="majorEastAsia" w:cstheme="majorEastAsia"/>
                <w:color w:val="000000"/>
                <w:kern w:val="0"/>
                <w:sz w:val="24"/>
                <w:szCs w:val="24"/>
                <w:lang w:bidi="ar"/>
              </w:rPr>
              <w:t>框采用</w:t>
            </w:r>
            <w:r>
              <w:rPr>
                <w:rFonts w:hint="eastAsia" w:asciiTheme="majorEastAsia" w:hAnsiTheme="majorEastAsia" w:eastAsiaTheme="majorEastAsia" w:cstheme="majorEastAsia"/>
                <w:color w:val="000000"/>
                <w:kern w:val="0"/>
                <w:sz w:val="24"/>
                <w:szCs w:val="24"/>
                <w:lang w:val="en-US" w:eastAsia="zh-CN" w:bidi="ar"/>
              </w:rPr>
              <w:t>40*80</w:t>
            </w:r>
            <w:r>
              <w:rPr>
                <w:rFonts w:hint="eastAsia" w:asciiTheme="majorEastAsia" w:hAnsiTheme="majorEastAsia" w:eastAsiaTheme="majorEastAsia" w:cstheme="majorEastAsia"/>
                <w:color w:val="000000"/>
                <w:kern w:val="0"/>
                <w:sz w:val="24"/>
                <w:szCs w:val="24"/>
                <w:lang w:bidi="ar"/>
              </w:rPr>
              <w:t>mm的热镀锌</w:t>
            </w:r>
            <w:r>
              <w:rPr>
                <w:rFonts w:hint="eastAsia" w:asciiTheme="majorEastAsia" w:hAnsiTheme="majorEastAsia" w:eastAsiaTheme="majorEastAsia" w:cstheme="majorEastAsia"/>
                <w:color w:val="000000"/>
                <w:kern w:val="0"/>
                <w:sz w:val="24"/>
                <w:szCs w:val="24"/>
                <w:lang w:val="en-US" w:eastAsia="zh-CN" w:bidi="ar"/>
              </w:rPr>
              <w:t>方</w:t>
            </w:r>
            <w:r>
              <w:rPr>
                <w:rFonts w:hint="eastAsia" w:asciiTheme="majorEastAsia" w:hAnsiTheme="majorEastAsia" w:eastAsiaTheme="majorEastAsia" w:cstheme="majorEastAsia"/>
                <w:color w:val="000000"/>
                <w:kern w:val="0"/>
                <w:sz w:val="24"/>
                <w:szCs w:val="24"/>
                <w:lang w:bidi="ar"/>
              </w:rPr>
              <w:t>管，壁厚为3mm。热镀锌处理不仅提高了管材的抗腐蚀性能，确保门框在户外环境中具有更长的使用寿命，同时增强了门框的结构强度和稳定性，防止生锈和磨损。</w:t>
            </w:r>
            <w:r>
              <w:rPr>
                <w:rFonts w:hint="eastAsia" w:asciiTheme="majorEastAsia" w:hAnsiTheme="majorEastAsia" w:eastAsiaTheme="majorEastAsia" w:cstheme="majorEastAsia"/>
                <w:color w:val="000000"/>
                <w:kern w:val="0"/>
                <w:sz w:val="24"/>
                <w:szCs w:val="24"/>
                <w:lang w:bidi="ar"/>
              </w:rPr>
              <w:br w:type="textWrapping"/>
            </w:r>
            <w:r>
              <w:rPr>
                <w:rFonts w:hint="eastAsia" w:asciiTheme="majorEastAsia" w:hAnsiTheme="majorEastAsia" w:eastAsiaTheme="majorEastAsia" w:cstheme="majorEastAsia"/>
                <w:color w:val="000000"/>
                <w:kern w:val="0"/>
                <w:sz w:val="24"/>
                <w:szCs w:val="24"/>
                <w:lang w:bidi="ar"/>
              </w:rPr>
              <w:t>2、</w:t>
            </w:r>
            <w:r>
              <w:rPr>
                <w:rFonts w:hint="eastAsia" w:asciiTheme="majorEastAsia" w:hAnsiTheme="majorEastAsia" w:eastAsiaTheme="majorEastAsia" w:cstheme="majorEastAsia"/>
                <w:color w:val="000000"/>
                <w:kern w:val="0"/>
                <w:sz w:val="24"/>
                <w:szCs w:val="24"/>
                <w:lang w:val="en-US" w:eastAsia="zh-CN" w:bidi="ar"/>
              </w:rPr>
              <w:t>门外框加装80*80mm热镀锌方管，壁厚3mm，门外框净高2880mm</w:t>
            </w:r>
            <w:r>
              <w:rPr>
                <w:rFonts w:hint="eastAsia" w:asciiTheme="majorEastAsia" w:hAnsiTheme="majorEastAsia" w:eastAsiaTheme="majorEastAsia" w:cstheme="majorEastAsia"/>
                <w:color w:val="000000"/>
                <w:kern w:val="0"/>
                <w:sz w:val="24"/>
                <w:szCs w:val="24"/>
                <w:lang w:bidi="ar"/>
              </w:rPr>
              <w:t>。</w:t>
            </w:r>
            <w:r>
              <w:rPr>
                <w:rFonts w:hint="eastAsia" w:asciiTheme="majorEastAsia" w:hAnsiTheme="majorEastAsia" w:eastAsiaTheme="majorEastAsia" w:cstheme="majorEastAsia"/>
                <w:color w:val="000000"/>
                <w:kern w:val="0"/>
                <w:sz w:val="24"/>
                <w:szCs w:val="24"/>
                <w:lang w:bidi="ar"/>
              </w:rPr>
              <w:br w:type="textWrapping"/>
            </w:r>
            <w:r>
              <w:rPr>
                <w:rFonts w:hint="eastAsia" w:asciiTheme="majorEastAsia" w:hAnsiTheme="majorEastAsia" w:eastAsiaTheme="majorEastAsia" w:cstheme="majorEastAsia"/>
                <w:color w:val="000000"/>
                <w:kern w:val="0"/>
                <w:sz w:val="24"/>
                <w:szCs w:val="24"/>
                <w:lang w:bidi="ar"/>
              </w:rPr>
              <w:t>3、表面处理：门框表面经过高温烤漆处理，涂层采用墨绿色，能够提供良好的抗紫外线和耐候性，保证长时间使用后不易褪色，且具有较高的美观性，适配球场等体育场所的整体视觉效果。</w:t>
            </w:r>
          </w:p>
          <w:p w14:paraId="6006BD59">
            <w:pPr>
              <w:widowControl/>
              <w:jc w:val="left"/>
              <w:textAlignment w:val="center"/>
              <w:rPr>
                <w:rFonts w:hint="eastAsia" w:asciiTheme="majorEastAsia" w:hAnsiTheme="majorEastAsia" w:eastAsiaTheme="majorEastAsia" w:cstheme="majorEastAsia"/>
                <w:color w:val="000000"/>
                <w:kern w:val="0"/>
                <w:sz w:val="24"/>
                <w:szCs w:val="24"/>
                <w:lang w:bidi="ar"/>
              </w:rPr>
            </w:pPr>
            <w:r>
              <w:rPr>
                <w:rFonts w:hint="eastAsia" w:asciiTheme="majorEastAsia" w:hAnsiTheme="majorEastAsia" w:eastAsiaTheme="majorEastAsia" w:cstheme="majorEastAsia"/>
                <w:color w:val="000000"/>
                <w:kern w:val="0"/>
                <w:sz w:val="24"/>
                <w:szCs w:val="24"/>
                <w:lang w:bidi="ar"/>
              </w:rPr>
              <w:t>4、门锁配置：双开门配备成品门锁，确保门的安全性与可靠性，方便使用者开关门锁，增加了门的安全管理功能。</w:t>
            </w:r>
          </w:p>
        </w:tc>
        <w:tc>
          <w:tcPr>
            <w:tcW w:w="886" w:type="dxa"/>
            <w:tcBorders>
              <w:top w:val="nil"/>
              <w:left w:val="single" w:color="auto" w:sz="4" w:space="0"/>
              <w:bottom w:val="single" w:color="auto" w:sz="4" w:space="0"/>
              <w:right w:val="single" w:color="auto" w:sz="4" w:space="0"/>
            </w:tcBorders>
            <w:noWrap/>
            <w:vAlign w:val="center"/>
          </w:tcPr>
          <w:p w14:paraId="23636EBC">
            <w:pPr>
              <w:widowControl/>
              <w:jc w:val="left"/>
              <w:textAlignment w:val="center"/>
              <w:rPr>
                <w:rFonts w:hint="eastAsia" w:asciiTheme="majorEastAsia" w:hAnsiTheme="majorEastAsia" w:eastAsiaTheme="majorEastAsia" w:cstheme="majorEastAsia"/>
                <w:color w:val="000000"/>
                <w:kern w:val="0"/>
                <w:sz w:val="24"/>
                <w:szCs w:val="24"/>
                <w:lang w:bidi="ar"/>
              </w:rPr>
            </w:pPr>
            <w:r>
              <w:rPr>
                <w:rFonts w:hint="eastAsia" w:asciiTheme="majorEastAsia" w:hAnsiTheme="majorEastAsia" w:eastAsiaTheme="majorEastAsia" w:cstheme="majorEastAsia"/>
                <w:color w:val="000000"/>
                <w:kern w:val="0"/>
                <w:sz w:val="24"/>
                <w:szCs w:val="24"/>
                <w:lang w:bidi="ar"/>
              </w:rPr>
              <w:t>1</w:t>
            </w:r>
          </w:p>
        </w:tc>
        <w:tc>
          <w:tcPr>
            <w:tcW w:w="1037" w:type="dxa"/>
            <w:tcBorders>
              <w:top w:val="nil"/>
              <w:left w:val="nil"/>
              <w:bottom w:val="single" w:color="auto" w:sz="4" w:space="0"/>
              <w:right w:val="single" w:color="auto" w:sz="4" w:space="0"/>
            </w:tcBorders>
            <w:noWrap/>
            <w:vAlign w:val="center"/>
          </w:tcPr>
          <w:p w14:paraId="51A699E1">
            <w:pPr>
              <w:widowControl/>
              <w:jc w:val="left"/>
              <w:textAlignment w:val="center"/>
              <w:rPr>
                <w:rFonts w:hint="eastAsia" w:asciiTheme="majorEastAsia" w:hAnsiTheme="majorEastAsia" w:eastAsiaTheme="majorEastAsia" w:cstheme="majorEastAsia"/>
                <w:color w:val="000000"/>
                <w:kern w:val="0"/>
                <w:sz w:val="24"/>
                <w:szCs w:val="24"/>
                <w:lang w:bidi="ar"/>
              </w:rPr>
            </w:pPr>
            <w:r>
              <w:rPr>
                <w:rFonts w:hint="eastAsia" w:asciiTheme="majorEastAsia" w:hAnsiTheme="majorEastAsia" w:eastAsiaTheme="majorEastAsia" w:cstheme="majorEastAsia"/>
                <w:color w:val="000000"/>
                <w:kern w:val="0"/>
                <w:sz w:val="24"/>
                <w:szCs w:val="24"/>
                <w:lang w:bidi="ar"/>
              </w:rPr>
              <w:t>个</w:t>
            </w:r>
          </w:p>
        </w:tc>
      </w:tr>
      <w:tr w14:paraId="0DB4F7C0">
        <w:tblPrEx>
          <w:tblCellMar>
            <w:top w:w="0" w:type="dxa"/>
            <w:left w:w="108" w:type="dxa"/>
            <w:bottom w:w="0" w:type="dxa"/>
            <w:right w:w="108" w:type="dxa"/>
          </w:tblCellMar>
        </w:tblPrEx>
        <w:trPr>
          <w:trHeight w:val="415" w:hRule="atLeast"/>
        </w:trPr>
        <w:tc>
          <w:tcPr>
            <w:tcW w:w="680" w:type="dxa"/>
            <w:tcBorders>
              <w:top w:val="nil"/>
              <w:left w:val="single" w:color="auto" w:sz="4" w:space="0"/>
              <w:bottom w:val="single" w:color="auto" w:sz="4" w:space="0"/>
              <w:right w:val="single" w:color="auto" w:sz="4" w:space="0"/>
            </w:tcBorders>
            <w:noWrap/>
            <w:vAlign w:val="center"/>
          </w:tcPr>
          <w:p w14:paraId="5F7E78A0">
            <w:pPr>
              <w:widowControl/>
              <w:jc w:val="right"/>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color w:val="000000"/>
                <w:sz w:val="24"/>
                <w:szCs w:val="24"/>
              </w:rPr>
              <w:t>3</w:t>
            </w:r>
          </w:p>
        </w:tc>
        <w:tc>
          <w:tcPr>
            <w:tcW w:w="1420" w:type="dxa"/>
            <w:tcBorders>
              <w:top w:val="nil"/>
              <w:left w:val="nil"/>
              <w:bottom w:val="single" w:color="auto" w:sz="4" w:space="0"/>
              <w:right w:val="single" w:color="auto" w:sz="4" w:space="0"/>
            </w:tcBorders>
            <w:noWrap/>
            <w:vAlign w:val="center"/>
          </w:tcPr>
          <w:p w14:paraId="0B35AA9D">
            <w:pPr>
              <w:widowControl/>
              <w:jc w:val="left"/>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color w:val="000000"/>
                <w:kern w:val="0"/>
                <w:sz w:val="24"/>
                <w:szCs w:val="24"/>
                <w:lang w:bidi="ar"/>
              </w:rPr>
              <w:t>双开门2</w:t>
            </w:r>
          </w:p>
        </w:tc>
        <w:tc>
          <w:tcPr>
            <w:tcW w:w="4963" w:type="dxa"/>
            <w:tcBorders>
              <w:top w:val="nil"/>
              <w:left w:val="nil"/>
              <w:bottom w:val="single" w:color="auto" w:sz="4" w:space="0"/>
              <w:right w:val="single" w:color="auto" w:sz="4" w:space="0"/>
            </w:tcBorders>
            <w:noWrap/>
            <w:vAlign w:val="center"/>
          </w:tcPr>
          <w:p w14:paraId="45903839">
            <w:pPr>
              <w:widowControl/>
              <w:jc w:val="left"/>
              <w:textAlignment w:val="center"/>
              <w:rPr>
                <w:rFonts w:hint="eastAsia" w:asciiTheme="majorEastAsia" w:hAnsiTheme="majorEastAsia" w:eastAsiaTheme="majorEastAsia" w:cstheme="majorEastAsia"/>
                <w:color w:val="000000"/>
                <w:kern w:val="0"/>
                <w:sz w:val="24"/>
                <w:szCs w:val="24"/>
                <w:lang w:bidi="ar"/>
              </w:rPr>
            </w:pPr>
            <w:r>
              <w:rPr>
                <w:rFonts w:hint="eastAsia" w:asciiTheme="majorEastAsia" w:hAnsiTheme="majorEastAsia" w:eastAsiaTheme="majorEastAsia" w:cstheme="majorEastAsia"/>
                <w:color w:val="000000"/>
                <w:kern w:val="0"/>
                <w:sz w:val="24"/>
                <w:szCs w:val="24"/>
                <w:lang w:bidi="ar"/>
              </w:rPr>
              <w:t>3.</w:t>
            </w:r>
            <w:r>
              <w:rPr>
                <w:rFonts w:hint="eastAsia" w:asciiTheme="majorEastAsia" w:hAnsiTheme="majorEastAsia" w:eastAsiaTheme="majorEastAsia" w:cstheme="majorEastAsia"/>
                <w:color w:val="000000"/>
                <w:kern w:val="0"/>
                <w:sz w:val="24"/>
                <w:szCs w:val="24"/>
                <w:lang w:val="en-US" w:eastAsia="zh-CN" w:bidi="ar"/>
              </w:rPr>
              <w:t>9</w:t>
            </w:r>
            <w:r>
              <w:rPr>
                <w:rFonts w:hint="eastAsia" w:asciiTheme="majorEastAsia" w:hAnsiTheme="majorEastAsia" w:eastAsiaTheme="majorEastAsia" w:cstheme="majorEastAsia"/>
                <w:color w:val="000000"/>
                <w:kern w:val="0"/>
                <w:sz w:val="24"/>
                <w:szCs w:val="24"/>
                <w:lang w:bidi="ar"/>
              </w:rPr>
              <w:t>m</w:t>
            </w:r>
            <w:r>
              <w:rPr>
                <w:rFonts w:hint="eastAsia" w:asciiTheme="majorEastAsia" w:hAnsiTheme="majorEastAsia" w:eastAsiaTheme="majorEastAsia" w:cstheme="majorEastAsia"/>
                <w:color w:val="000000"/>
                <w:kern w:val="0"/>
                <w:sz w:val="24"/>
                <w:szCs w:val="24"/>
                <w:lang w:val="en-US" w:eastAsia="zh-CN" w:bidi="ar"/>
              </w:rPr>
              <w:t>*2.58m</w:t>
            </w:r>
            <w:r>
              <w:rPr>
                <w:rFonts w:hint="eastAsia" w:asciiTheme="majorEastAsia" w:hAnsiTheme="majorEastAsia" w:eastAsiaTheme="majorEastAsia" w:cstheme="majorEastAsia"/>
                <w:color w:val="000000"/>
                <w:kern w:val="0"/>
                <w:sz w:val="24"/>
                <w:szCs w:val="24"/>
                <w:lang w:bidi="ar"/>
              </w:rPr>
              <w:t>宽度双开门。</w:t>
            </w:r>
            <w:r>
              <w:rPr>
                <w:rFonts w:hint="eastAsia" w:asciiTheme="majorEastAsia" w:hAnsiTheme="majorEastAsia" w:eastAsiaTheme="majorEastAsia" w:cstheme="majorEastAsia"/>
                <w:color w:val="000000"/>
                <w:kern w:val="0"/>
                <w:sz w:val="24"/>
                <w:szCs w:val="24"/>
                <w:lang w:bidi="ar"/>
              </w:rPr>
              <w:br w:type="textWrapping"/>
            </w:r>
            <w:r>
              <w:rPr>
                <w:rFonts w:hint="eastAsia" w:asciiTheme="majorEastAsia" w:hAnsiTheme="majorEastAsia" w:eastAsiaTheme="majorEastAsia" w:cstheme="majorEastAsia"/>
                <w:color w:val="000000"/>
                <w:kern w:val="0"/>
                <w:sz w:val="24"/>
                <w:szCs w:val="24"/>
                <w:lang w:bidi="ar"/>
              </w:rPr>
              <w:t>1、门</w:t>
            </w:r>
            <w:r>
              <w:rPr>
                <w:rFonts w:hint="eastAsia" w:asciiTheme="majorEastAsia" w:hAnsiTheme="majorEastAsia" w:eastAsiaTheme="majorEastAsia" w:cstheme="majorEastAsia"/>
                <w:color w:val="000000"/>
                <w:kern w:val="0"/>
                <w:sz w:val="24"/>
                <w:szCs w:val="24"/>
                <w:lang w:val="en-US" w:eastAsia="zh-CN" w:bidi="ar"/>
              </w:rPr>
              <w:t>内</w:t>
            </w:r>
            <w:r>
              <w:rPr>
                <w:rFonts w:hint="eastAsia" w:asciiTheme="majorEastAsia" w:hAnsiTheme="majorEastAsia" w:eastAsiaTheme="majorEastAsia" w:cstheme="majorEastAsia"/>
                <w:color w:val="000000"/>
                <w:kern w:val="0"/>
                <w:sz w:val="24"/>
                <w:szCs w:val="24"/>
                <w:lang w:bidi="ar"/>
              </w:rPr>
              <w:t>框采用</w:t>
            </w:r>
            <w:r>
              <w:rPr>
                <w:rFonts w:hint="eastAsia" w:asciiTheme="majorEastAsia" w:hAnsiTheme="majorEastAsia" w:eastAsiaTheme="majorEastAsia" w:cstheme="majorEastAsia"/>
                <w:color w:val="000000"/>
                <w:kern w:val="0"/>
                <w:sz w:val="24"/>
                <w:szCs w:val="24"/>
                <w:lang w:val="en-US" w:eastAsia="zh-CN" w:bidi="ar"/>
              </w:rPr>
              <w:t>40*80</w:t>
            </w:r>
            <w:r>
              <w:rPr>
                <w:rFonts w:hint="eastAsia" w:asciiTheme="majorEastAsia" w:hAnsiTheme="majorEastAsia" w:eastAsiaTheme="majorEastAsia" w:cstheme="majorEastAsia"/>
                <w:color w:val="000000"/>
                <w:kern w:val="0"/>
                <w:sz w:val="24"/>
                <w:szCs w:val="24"/>
                <w:lang w:bidi="ar"/>
              </w:rPr>
              <w:t>mm的热镀锌</w:t>
            </w:r>
            <w:r>
              <w:rPr>
                <w:rFonts w:hint="eastAsia" w:asciiTheme="majorEastAsia" w:hAnsiTheme="majorEastAsia" w:eastAsiaTheme="majorEastAsia" w:cstheme="majorEastAsia"/>
                <w:color w:val="000000"/>
                <w:kern w:val="0"/>
                <w:sz w:val="24"/>
                <w:szCs w:val="24"/>
                <w:lang w:val="en-US" w:eastAsia="zh-CN" w:bidi="ar"/>
              </w:rPr>
              <w:t>方</w:t>
            </w:r>
            <w:r>
              <w:rPr>
                <w:rFonts w:hint="eastAsia" w:asciiTheme="majorEastAsia" w:hAnsiTheme="majorEastAsia" w:eastAsiaTheme="majorEastAsia" w:cstheme="majorEastAsia"/>
                <w:color w:val="000000"/>
                <w:kern w:val="0"/>
                <w:sz w:val="24"/>
                <w:szCs w:val="24"/>
                <w:lang w:bidi="ar"/>
              </w:rPr>
              <w:t>管，壁厚为3mm。热镀锌处理不仅提高了管材的抗腐蚀性能，确保门框在户外环境中具有更长的使用寿命，同时增强了门框的结构强度和稳定性，防止生锈和磨损。</w:t>
            </w:r>
            <w:r>
              <w:rPr>
                <w:rFonts w:hint="eastAsia" w:asciiTheme="majorEastAsia" w:hAnsiTheme="majorEastAsia" w:eastAsiaTheme="majorEastAsia" w:cstheme="majorEastAsia"/>
                <w:color w:val="000000"/>
                <w:kern w:val="0"/>
                <w:sz w:val="24"/>
                <w:szCs w:val="24"/>
                <w:lang w:bidi="ar"/>
              </w:rPr>
              <w:br w:type="textWrapping"/>
            </w:r>
            <w:r>
              <w:rPr>
                <w:rFonts w:hint="eastAsia" w:asciiTheme="majorEastAsia" w:hAnsiTheme="majorEastAsia" w:eastAsiaTheme="majorEastAsia" w:cstheme="majorEastAsia"/>
                <w:color w:val="000000"/>
                <w:kern w:val="0"/>
                <w:sz w:val="24"/>
                <w:szCs w:val="24"/>
                <w:lang w:bidi="ar"/>
              </w:rPr>
              <w:t>2、</w:t>
            </w:r>
            <w:r>
              <w:rPr>
                <w:rFonts w:hint="eastAsia" w:asciiTheme="majorEastAsia" w:hAnsiTheme="majorEastAsia" w:eastAsiaTheme="majorEastAsia" w:cstheme="majorEastAsia"/>
                <w:color w:val="000000"/>
                <w:kern w:val="0"/>
                <w:sz w:val="24"/>
                <w:szCs w:val="24"/>
                <w:lang w:val="en-US" w:eastAsia="zh-CN" w:bidi="ar"/>
              </w:rPr>
              <w:t>门外框加装80*80mm热镀锌方管，壁厚3mm，门外框净高2580mm</w:t>
            </w:r>
            <w:r>
              <w:rPr>
                <w:rFonts w:hint="eastAsia" w:asciiTheme="majorEastAsia" w:hAnsiTheme="majorEastAsia" w:eastAsiaTheme="majorEastAsia" w:cstheme="majorEastAsia"/>
                <w:color w:val="000000"/>
                <w:kern w:val="0"/>
                <w:sz w:val="24"/>
                <w:szCs w:val="24"/>
                <w:lang w:bidi="ar"/>
              </w:rPr>
              <w:t>。</w:t>
            </w:r>
            <w:r>
              <w:rPr>
                <w:rFonts w:hint="eastAsia" w:asciiTheme="majorEastAsia" w:hAnsiTheme="majorEastAsia" w:eastAsiaTheme="majorEastAsia" w:cstheme="majorEastAsia"/>
                <w:color w:val="000000"/>
                <w:kern w:val="0"/>
                <w:sz w:val="24"/>
                <w:szCs w:val="24"/>
                <w:lang w:bidi="ar"/>
              </w:rPr>
              <w:br w:type="textWrapping"/>
            </w:r>
            <w:r>
              <w:rPr>
                <w:rFonts w:hint="eastAsia" w:asciiTheme="majorEastAsia" w:hAnsiTheme="majorEastAsia" w:eastAsiaTheme="majorEastAsia" w:cstheme="majorEastAsia"/>
                <w:color w:val="000000"/>
                <w:kern w:val="0"/>
                <w:sz w:val="24"/>
                <w:szCs w:val="24"/>
                <w:lang w:bidi="ar"/>
              </w:rPr>
              <w:t>3、表面处理：门框表面经过高温烤漆处理，涂层采用墨绿色，能够提供良好的抗紫外线和耐候性，保证长时间使用后不易褪色，且具有较高的美观性，适配球场等体育场所的整体视觉效果。</w:t>
            </w:r>
          </w:p>
          <w:p w14:paraId="6987EA05">
            <w:pPr>
              <w:widowControl/>
              <w:jc w:val="left"/>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color w:val="000000"/>
                <w:kern w:val="0"/>
                <w:sz w:val="24"/>
                <w:szCs w:val="24"/>
                <w:lang w:bidi="ar"/>
              </w:rPr>
              <w:t>4、门锁配置：双开门配备成品门锁，确保门的安全性与可靠性，方便使用者开关门锁，增加了门的安全管理功能。</w:t>
            </w:r>
          </w:p>
        </w:tc>
        <w:tc>
          <w:tcPr>
            <w:tcW w:w="886" w:type="dxa"/>
            <w:tcBorders>
              <w:top w:val="nil"/>
              <w:left w:val="nil"/>
              <w:bottom w:val="single" w:color="auto" w:sz="4" w:space="0"/>
              <w:right w:val="single" w:color="auto" w:sz="4" w:space="0"/>
            </w:tcBorders>
            <w:noWrap/>
            <w:vAlign w:val="center"/>
          </w:tcPr>
          <w:p w14:paraId="2D6E6692">
            <w:pPr>
              <w:widowControl/>
              <w:jc w:val="right"/>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color w:val="000000"/>
                <w:kern w:val="0"/>
                <w:sz w:val="24"/>
                <w:szCs w:val="24"/>
                <w:lang w:bidi="ar"/>
              </w:rPr>
              <w:t>1</w:t>
            </w:r>
          </w:p>
        </w:tc>
        <w:tc>
          <w:tcPr>
            <w:tcW w:w="1037" w:type="dxa"/>
            <w:tcBorders>
              <w:top w:val="nil"/>
              <w:left w:val="nil"/>
              <w:bottom w:val="single" w:color="auto" w:sz="4" w:space="0"/>
              <w:right w:val="single" w:color="auto" w:sz="4" w:space="0"/>
            </w:tcBorders>
            <w:noWrap/>
            <w:vAlign w:val="center"/>
          </w:tcPr>
          <w:p w14:paraId="014DE83E">
            <w:pPr>
              <w:widowControl/>
              <w:jc w:val="left"/>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color w:val="000000"/>
                <w:kern w:val="0"/>
                <w:sz w:val="24"/>
                <w:szCs w:val="24"/>
                <w:lang w:bidi="ar"/>
              </w:rPr>
              <w:t>个</w:t>
            </w:r>
          </w:p>
        </w:tc>
      </w:tr>
      <w:tr w14:paraId="111D61AE">
        <w:tblPrEx>
          <w:tblCellMar>
            <w:top w:w="0" w:type="dxa"/>
            <w:left w:w="108" w:type="dxa"/>
            <w:bottom w:w="0" w:type="dxa"/>
            <w:right w:w="108" w:type="dxa"/>
          </w:tblCellMar>
        </w:tblPrEx>
        <w:trPr>
          <w:trHeight w:val="520" w:hRule="atLeast"/>
        </w:trPr>
        <w:tc>
          <w:tcPr>
            <w:tcW w:w="680" w:type="dxa"/>
            <w:tcBorders>
              <w:top w:val="nil"/>
              <w:left w:val="single" w:color="auto" w:sz="4" w:space="0"/>
              <w:bottom w:val="single" w:color="auto" w:sz="4" w:space="0"/>
              <w:right w:val="single" w:color="auto" w:sz="4" w:space="0"/>
            </w:tcBorders>
            <w:noWrap/>
            <w:vAlign w:val="center"/>
          </w:tcPr>
          <w:p w14:paraId="79D255FB">
            <w:pPr>
              <w:widowControl/>
              <w:jc w:val="right"/>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color w:val="000000"/>
                <w:sz w:val="24"/>
                <w:szCs w:val="24"/>
              </w:rPr>
              <w:t>4</w:t>
            </w:r>
          </w:p>
        </w:tc>
        <w:tc>
          <w:tcPr>
            <w:tcW w:w="1420" w:type="dxa"/>
            <w:tcBorders>
              <w:top w:val="nil"/>
              <w:left w:val="nil"/>
              <w:bottom w:val="single" w:color="auto" w:sz="4" w:space="0"/>
              <w:right w:val="single" w:color="auto" w:sz="4" w:space="0"/>
            </w:tcBorders>
            <w:noWrap/>
            <w:vAlign w:val="center"/>
          </w:tcPr>
          <w:p w14:paraId="7271AD86">
            <w:pPr>
              <w:widowControl/>
              <w:jc w:val="left"/>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color w:val="000000"/>
                <w:kern w:val="0"/>
                <w:sz w:val="24"/>
                <w:szCs w:val="24"/>
                <w:lang w:bidi="ar"/>
              </w:rPr>
              <w:t>旧立柱翻新</w:t>
            </w:r>
          </w:p>
        </w:tc>
        <w:tc>
          <w:tcPr>
            <w:tcW w:w="4963" w:type="dxa"/>
            <w:tcBorders>
              <w:top w:val="nil"/>
              <w:left w:val="nil"/>
              <w:bottom w:val="single" w:color="auto" w:sz="4" w:space="0"/>
              <w:right w:val="nil"/>
            </w:tcBorders>
            <w:noWrap/>
            <w:vAlign w:val="center"/>
          </w:tcPr>
          <w:p w14:paraId="7AD095E4">
            <w:pPr>
              <w:widowControl/>
              <w:jc w:val="left"/>
              <w:textAlignment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color w:val="000000"/>
                <w:kern w:val="0"/>
                <w:sz w:val="24"/>
                <w:szCs w:val="24"/>
                <w:lang w:bidi="ar"/>
              </w:rPr>
              <w:t>除锈，去爆皮，打磨，外喷漆颜色与围栏颜色保持一致</w:t>
            </w:r>
            <w:r>
              <w:rPr>
                <w:rFonts w:hint="eastAsia" w:asciiTheme="majorEastAsia" w:hAnsiTheme="majorEastAsia" w:eastAsiaTheme="majorEastAsia" w:cstheme="majorEastAsia"/>
                <w:color w:val="000000"/>
                <w:kern w:val="0"/>
                <w:sz w:val="24"/>
                <w:szCs w:val="24"/>
                <w:lang w:eastAsia="zh-CN" w:bidi="ar"/>
              </w:rPr>
              <w:t>，</w:t>
            </w:r>
            <w:r>
              <w:rPr>
                <w:rFonts w:hint="eastAsia" w:asciiTheme="majorEastAsia" w:hAnsiTheme="majorEastAsia" w:eastAsiaTheme="majorEastAsia" w:cstheme="majorEastAsia"/>
                <w:color w:val="000000" w:themeColor="text1"/>
                <w:kern w:val="0"/>
                <w:sz w:val="24"/>
                <w:szCs w:val="24"/>
                <w:highlight w:val="none"/>
                <w:lang w:val="en-US" w:eastAsia="zh-CN" w:bidi="ar"/>
                <w14:textFill>
                  <w14:solidFill>
                    <w14:schemeClr w14:val="tx1"/>
                  </w14:solidFill>
                </w14:textFill>
              </w:rPr>
              <w:t>有部分腐蚀严重的进行修补修复。</w:t>
            </w:r>
          </w:p>
        </w:tc>
        <w:tc>
          <w:tcPr>
            <w:tcW w:w="886" w:type="dxa"/>
            <w:tcBorders>
              <w:top w:val="nil"/>
              <w:left w:val="single" w:color="auto" w:sz="4" w:space="0"/>
              <w:bottom w:val="single" w:color="auto" w:sz="4" w:space="0"/>
              <w:right w:val="single" w:color="auto" w:sz="4" w:space="0"/>
            </w:tcBorders>
            <w:noWrap/>
            <w:vAlign w:val="center"/>
          </w:tcPr>
          <w:p w14:paraId="3E16A1ED">
            <w:pPr>
              <w:widowControl/>
              <w:jc w:val="right"/>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color w:val="000000"/>
                <w:sz w:val="24"/>
                <w:szCs w:val="24"/>
              </w:rPr>
              <w:t>110</w:t>
            </w:r>
          </w:p>
        </w:tc>
        <w:tc>
          <w:tcPr>
            <w:tcW w:w="1037" w:type="dxa"/>
            <w:tcBorders>
              <w:top w:val="nil"/>
              <w:left w:val="nil"/>
              <w:bottom w:val="single" w:color="auto" w:sz="4" w:space="0"/>
              <w:right w:val="single" w:color="auto" w:sz="4" w:space="0"/>
            </w:tcBorders>
            <w:noWrap/>
            <w:vAlign w:val="center"/>
          </w:tcPr>
          <w:p w14:paraId="24800DA6">
            <w:pPr>
              <w:widowControl/>
              <w:jc w:val="left"/>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color w:val="000000"/>
                <w:kern w:val="0"/>
                <w:sz w:val="24"/>
                <w:szCs w:val="24"/>
                <w:lang w:bidi="ar"/>
              </w:rPr>
              <w:t>根</w:t>
            </w:r>
          </w:p>
        </w:tc>
      </w:tr>
    </w:tbl>
    <w:p w14:paraId="2EF91DED">
      <w:pPr>
        <w:pStyle w:val="12"/>
        <w:ind w:left="0" w:leftChars="0" w:firstLine="0" w:firstLineChars="0"/>
        <w:rPr>
          <w:rFonts w:hint="eastAsia" w:ascii="宋体" w:hAnsi="宋体" w:eastAsia="宋体" w:cs="宋体"/>
          <w:b/>
          <w:sz w:val="24"/>
          <w:szCs w:val="30"/>
        </w:rPr>
      </w:pPr>
    </w:p>
    <w:p w14:paraId="0BE80DBD">
      <w:pPr>
        <w:numPr>
          <w:ilvl w:val="0"/>
          <w:numId w:val="1"/>
        </w:numPr>
        <w:spacing w:line="360" w:lineRule="auto"/>
        <w:rPr>
          <w:rFonts w:hint="eastAsia" w:ascii="宋体" w:hAnsi="宋体" w:eastAsia="宋体" w:cs="宋体"/>
          <w:b/>
          <w:kern w:val="0"/>
          <w:sz w:val="24"/>
        </w:rPr>
      </w:pPr>
      <w:r>
        <w:rPr>
          <w:rFonts w:hint="eastAsia" w:ascii="宋体" w:hAnsi="宋体" w:eastAsia="宋体" w:cs="宋体"/>
          <w:b/>
          <w:sz w:val="24"/>
        </w:rPr>
        <w:t>本项目的总价最高限价为</w:t>
      </w:r>
      <w:r>
        <w:rPr>
          <w:rFonts w:hint="eastAsia" w:ascii="宋体" w:hAnsi="宋体" w:eastAsia="宋体" w:cs="宋体"/>
          <w:b/>
          <w:sz w:val="24"/>
          <w:u w:val="single"/>
        </w:rPr>
        <w:t>贰拾伍万肆仟伍佰元</w:t>
      </w:r>
      <w:r>
        <w:rPr>
          <w:rFonts w:hint="eastAsia" w:ascii="宋体" w:hAnsi="宋体" w:eastAsia="宋体" w:cs="宋体"/>
          <w:b/>
          <w:sz w:val="24"/>
          <w:u w:val="single"/>
          <w:lang w:val="en-US" w:eastAsia="zh-CN"/>
        </w:rPr>
        <w:t>整</w:t>
      </w:r>
      <w:r>
        <w:rPr>
          <w:rFonts w:hint="eastAsia" w:ascii="宋体" w:hAnsi="宋体" w:eastAsia="宋体" w:cs="宋体"/>
          <w:b/>
          <w:sz w:val="24"/>
          <w:u w:val="single"/>
        </w:rPr>
        <w:t>(</w:t>
      </w:r>
      <w:r>
        <w:rPr>
          <w:rFonts w:hint="eastAsia" w:ascii="宋体" w:hAnsi="宋体" w:eastAsia="宋体" w:cs="宋体"/>
          <w:b/>
          <w:sz w:val="24"/>
          <w:u w:val="single"/>
          <w:lang w:val="en-US" w:eastAsia="zh-CN"/>
        </w:rPr>
        <w:t>￥</w:t>
      </w:r>
      <w:r>
        <w:rPr>
          <w:rFonts w:hint="eastAsia" w:ascii="宋体" w:hAnsi="宋体" w:eastAsia="宋体" w:cs="宋体"/>
          <w:b/>
          <w:sz w:val="24"/>
          <w:u w:val="single"/>
        </w:rPr>
        <w:t>254500元）</w:t>
      </w:r>
      <w:r>
        <w:rPr>
          <w:rFonts w:hint="eastAsia" w:ascii="宋体" w:hAnsi="宋体" w:eastAsia="宋体" w:cs="宋体"/>
          <w:b/>
          <w:sz w:val="24"/>
        </w:rPr>
        <w:t>，报价等于或大于总价最高限价的为无效报价。</w:t>
      </w:r>
    </w:p>
    <w:p w14:paraId="2B756F80">
      <w:pPr>
        <w:numPr>
          <w:ilvl w:val="0"/>
          <w:numId w:val="1"/>
        </w:numPr>
        <w:spacing w:line="360" w:lineRule="auto"/>
        <w:rPr>
          <w:rFonts w:hint="eastAsia" w:ascii="宋体" w:hAnsi="宋体" w:eastAsia="宋体" w:cs="宋体"/>
          <w:b/>
          <w:sz w:val="24"/>
        </w:rPr>
      </w:pPr>
      <w:r>
        <w:rPr>
          <w:rFonts w:hint="eastAsia" w:ascii="宋体" w:hAnsi="宋体" w:eastAsia="宋体" w:cs="宋体"/>
          <w:b/>
          <w:sz w:val="24"/>
        </w:rPr>
        <w:t>投标供应商资格</w:t>
      </w:r>
    </w:p>
    <w:p w14:paraId="193CEC53">
      <w:pPr>
        <w:spacing w:line="480" w:lineRule="exact"/>
        <w:ind w:firstLine="480" w:firstLineChars="200"/>
        <w:contextualSpacing/>
        <w:rPr>
          <w:rFonts w:hint="eastAsia" w:ascii="宋体" w:hAnsi="宋体" w:eastAsia="宋体" w:cs="宋体"/>
          <w:sz w:val="24"/>
        </w:rPr>
      </w:pPr>
      <w:r>
        <w:rPr>
          <w:rFonts w:hint="eastAsia" w:ascii="宋体" w:hAnsi="宋体" w:eastAsia="宋体" w:cs="宋体"/>
          <w:sz w:val="24"/>
        </w:rPr>
        <w:t>1.符合《中华人民共和国政府采购法》第二十二条的规定；</w:t>
      </w:r>
    </w:p>
    <w:p w14:paraId="2105B365">
      <w:pPr>
        <w:spacing w:line="48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2.供应商具有有效的营业执照</w:t>
      </w:r>
      <w:r>
        <w:rPr>
          <w:rFonts w:hint="eastAsia" w:ascii="宋体" w:hAnsi="宋体" w:eastAsia="宋体" w:cs="宋体"/>
          <w:b/>
          <w:bCs/>
          <w:color w:val="auto"/>
          <w:sz w:val="24"/>
          <w:highlight w:val="none"/>
        </w:rPr>
        <w:t>。</w:t>
      </w:r>
    </w:p>
    <w:p w14:paraId="3317B5A1">
      <w:pPr>
        <w:pStyle w:val="2"/>
        <w:spacing w:after="0" w:line="480" w:lineRule="exact"/>
        <w:ind w:firstLine="480" w:firstLineChars="200"/>
        <w:contextualSpacing/>
        <w:rPr>
          <w:rFonts w:hint="eastAsia" w:ascii="宋体" w:hAnsi="宋体" w:cs="宋体"/>
          <w:sz w:val="24"/>
          <w:szCs w:val="24"/>
        </w:rPr>
      </w:pPr>
      <w:r>
        <w:rPr>
          <w:rFonts w:hint="eastAsia" w:ascii="宋体" w:hAnsi="宋体" w:cs="宋体"/>
          <w:sz w:val="24"/>
          <w:szCs w:val="24"/>
        </w:rPr>
        <w:t>3.本项目不接受联合体投标。</w:t>
      </w:r>
    </w:p>
    <w:p w14:paraId="23067392">
      <w:pPr>
        <w:numPr>
          <w:ilvl w:val="0"/>
          <w:numId w:val="1"/>
        </w:numPr>
        <w:spacing w:line="360" w:lineRule="auto"/>
        <w:rPr>
          <w:rFonts w:hint="eastAsia" w:ascii="宋体" w:hAnsi="宋体" w:eastAsia="宋体" w:cs="宋体"/>
          <w:b/>
          <w:sz w:val="24"/>
        </w:rPr>
      </w:pPr>
      <w:r>
        <w:rPr>
          <w:rFonts w:hint="eastAsia" w:ascii="宋体" w:hAnsi="宋体" w:eastAsia="宋体" w:cs="宋体"/>
          <w:b/>
          <w:sz w:val="24"/>
        </w:rPr>
        <w:t>报价注意事项</w:t>
      </w:r>
    </w:p>
    <w:p w14:paraId="17F9C6D1">
      <w:pPr>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1、供应商应按照本询价公告的要求编制报价文件，报价文件应对本询价公告提出的要求和条件作出实质性响应。否则，均被视为无效投标文件。报价包括全部货物和服务所发生的费用，以及为完成上述内容所必须的</w:t>
      </w:r>
      <w:r>
        <w:rPr>
          <w:rFonts w:hint="eastAsia" w:ascii="宋体" w:hAnsi="宋体" w:eastAsia="宋体" w:cs="宋体"/>
          <w:kern w:val="0"/>
          <w:sz w:val="24"/>
        </w:rPr>
        <w:t>货物运输、装卸、安装、税金、检测、质保、售后服务等所有相关费用</w:t>
      </w:r>
      <w:r>
        <w:rPr>
          <w:rFonts w:hint="eastAsia" w:ascii="宋体" w:hAnsi="宋体" w:eastAsia="宋体" w:cs="宋体"/>
          <w:sz w:val="24"/>
        </w:rPr>
        <w:t>，同时投标人所报的综合单价在合同实施期间不因市场变化因素而变动。</w:t>
      </w:r>
    </w:p>
    <w:p w14:paraId="424381FD">
      <w:pPr>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2、供应商应详细阅读询价文件的全部内容，供应商对询价文件有疑问或异议的，请在递交报价文件</w:t>
      </w:r>
      <w:r>
        <w:rPr>
          <w:rFonts w:hint="eastAsia" w:ascii="宋体" w:hAnsi="宋体" w:eastAsia="宋体" w:cs="宋体"/>
          <w:sz w:val="24"/>
          <w:lang w:val="en-US" w:eastAsia="zh-CN"/>
        </w:rPr>
        <w:t>1</w:t>
      </w:r>
      <w:r>
        <w:rPr>
          <w:rFonts w:hint="eastAsia" w:ascii="宋体" w:hAnsi="宋体" w:eastAsia="宋体" w:cs="宋体"/>
          <w:sz w:val="24"/>
        </w:rPr>
        <w:t>日前以书面形式（加盖单位公章）递交至采购单位。</w:t>
      </w:r>
    </w:p>
    <w:p w14:paraId="2A7716BE">
      <w:pPr>
        <w:snapToGrid w:val="0"/>
        <w:spacing w:line="500" w:lineRule="exact"/>
        <w:ind w:firstLine="540"/>
        <w:rPr>
          <w:rFonts w:hint="eastAsia" w:ascii="宋体" w:hAnsi="宋体" w:eastAsia="宋体" w:cs="宋体"/>
          <w:sz w:val="24"/>
        </w:rPr>
      </w:pPr>
      <w:r>
        <w:rPr>
          <w:rFonts w:hint="eastAsia" w:ascii="宋体" w:hAnsi="宋体" w:eastAsia="宋体" w:cs="宋体"/>
          <w:sz w:val="24"/>
        </w:rPr>
        <w:t>有关技术及需求问题，请与采购单位联系。</w:t>
      </w:r>
    </w:p>
    <w:p w14:paraId="64E5BB3D">
      <w:pPr>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采购单位：启东市英邦小学</w:t>
      </w:r>
    </w:p>
    <w:p w14:paraId="49AF7D50">
      <w:pPr>
        <w:spacing w:line="500" w:lineRule="exact"/>
        <w:ind w:firstLine="600" w:firstLineChars="250"/>
        <w:rPr>
          <w:rFonts w:hint="eastAsia" w:ascii="宋体" w:hAnsi="宋体" w:eastAsia="宋体" w:cs="宋体"/>
          <w:sz w:val="24"/>
        </w:rPr>
      </w:pPr>
      <w:r>
        <w:rPr>
          <w:rFonts w:hint="eastAsia" w:ascii="宋体" w:hAnsi="宋体" w:eastAsia="宋体" w:cs="宋体"/>
          <w:sz w:val="24"/>
        </w:rPr>
        <w:t xml:space="preserve">联系人：钮老师          联系电话：15051208570  </w:t>
      </w:r>
    </w:p>
    <w:p w14:paraId="3B95D2B5">
      <w:pPr>
        <w:numPr>
          <w:ilvl w:val="0"/>
          <w:numId w:val="2"/>
        </w:numPr>
        <w:snapToGrid w:val="0"/>
        <w:spacing w:line="500" w:lineRule="exact"/>
        <w:ind w:firstLine="560"/>
        <w:rPr>
          <w:rFonts w:hint="eastAsia" w:ascii="宋体" w:hAnsi="宋体" w:eastAsia="宋体" w:cs="宋体"/>
          <w:b/>
          <w:bCs/>
          <w:sz w:val="24"/>
        </w:rPr>
      </w:pPr>
      <w:r>
        <w:rPr>
          <w:rFonts w:hint="eastAsia" w:ascii="宋体" w:hAnsi="宋体" w:eastAsia="宋体" w:cs="宋体"/>
          <w:b/>
          <w:bCs/>
          <w:sz w:val="24"/>
        </w:rPr>
        <w:t>报价文件构成</w:t>
      </w:r>
    </w:p>
    <w:p w14:paraId="4E74F217">
      <w:pPr>
        <w:spacing w:line="480" w:lineRule="exact"/>
        <w:contextualSpacing/>
        <w:rPr>
          <w:rFonts w:hint="eastAsia" w:ascii="宋体" w:hAnsi="宋体" w:eastAsia="宋体" w:cs="宋体"/>
          <w:b/>
          <w:bCs/>
          <w:sz w:val="24"/>
        </w:rPr>
      </w:pPr>
      <w:r>
        <w:rPr>
          <w:rFonts w:hint="eastAsia" w:asciiTheme="minorEastAsia" w:hAnsiTheme="minorEastAsia" w:cstheme="minorEastAsia"/>
          <w:sz w:val="24"/>
          <w:szCs w:val="24"/>
        </w:rPr>
        <w:t>（1）响应</w:t>
      </w:r>
      <w:r>
        <w:rPr>
          <w:rFonts w:hint="eastAsia" w:asciiTheme="minorEastAsia" w:hAnsiTheme="minorEastAsia" w:cstheme="minorEastAsia"/>
          <w:sz w:val="24"/>
          <w:szCs w:val="24"/>
          <w:lang w:eastAsia="zh-CN"/>
        </w:rPr>
        <w:t>人</w:t>
      </w:r>
      <w:r>
        <w:rPr>
          <w:rFonts w:hint="eastAsia" w:asciiTheme="minorEastAsia" w:hAnsiTheme="minorEastAsia" w:cstheme="minorEastAsia"/>
          <w:sz w:val="24"/>
          <w:szCs w:val="24"/>
        </w:rPr>
        <w:t>符合《中华人民共和国政府采购法》第二十二条规定条件的声明函（按照附件一格式填写</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加盖报价单位公章）</w:t>
      </w:r>
      <w:r>
        <w:rPr>
          <w:rFonts w:hint="eastAsia" w:ascii="宋体" w:hAnsi="宋体" w:eastAsia="宋体" w:cs="宋体"/>
          <w:sz w:val="24"/>
        </w:rPr>
        <w:t>；</w:t>
      </w:r>
    </w:p>
    <w:p w14:paraId="544990AE">
      <w:pPr>
        <w:pStyle w:val="39"/>
        <w:spacing w:line="360" w:lineRule="auto"/>
        <w:rPr>
          <w:rFonts w:hint="eastAsia" w:asciiTheme="minorEastAsia" w:hAnsiTheme="minorEastAsia" w:cstheme="minorEastAsia"/>
          <w:sz w:val="24"/>
          <w:szCs w:val="24"/>
        </w:rPr>
      </w:pPr>
      <w:r>
        <w:rPr>
          <w:rFonts w:hint="eastAsia" w:asciiTheme="minorEastAsia" w:hAnsiTheme="minorEastAsia" w:cstheme="minorEastAsia"/>
          <w:sz w:val="24"/>
          <w:szCs w:val="24"/>
        </w:rPr>
        <w:t>（</w:t>
      </w:r>
      <w:r>
        <w:rPr>
          <w:rFonts w:hint="eastAsia" w:asciiTheme="minorEastAsia" w:hAnsiTheme="minorEastAsia" w:cstheme="minorEastAsia"/>
          <w:sz w:val="24"/>
          <w:szCs w:val="24"/>
          <w:lang w:val="en-US" w:eastAsia="zh-CN"/>
        </w:rPr>
        <w:t>2</w:t>
      </w:r>
      <w:r>
        <w:rPr>
          <w:rFonts w:hint="eastAsia" w:asciiTheme="minorEastAsia" w:hAnsiTheme="minorEastAsia" w:cstheme="minorEastAsia"/>
          <w:sz w:val="24"/>
          <w:szCs w:val="24"/>
        </w:rPr>
        <w:t>）有效的企业法人营业执照复印件（加盖报价单位公章）；</w:t>
      </w:r>
    </w:p>
    <w:p w14:paraId="66750161">
      <w:pPr>
        <w:pStyle w:val="39"/>
        <w:spacing w:line="360" w:lineRule="auto"/>
        <w:rPr>
          <w:rFonts w:hint="eastAsia" w:asciiTheme="minorEastAsia" w:hAnsiTheme="minorEastAsia" w:cstheme="minorEastAsia"/>
          <w:sz w:val="24"/>
          <w:szCs w:val="24"/>
        </w:rPr>
      </w:pPr>
      <w:r>
        <w:rPr>
          <w:rFonts w:hint="eastAsia" w:asciiTheme="minorEastAsia" w:hAnsiTheme="minorEastAsia" w:cstheme="minorEastAsia"/>
          <w:sz w:val="24"/>
          <w:szCs w:val="24"/>
        </w:rPr>
        <w:t>（</w:t>
      </w:r>
      <w:r>
        <w:rPr>
          <w:rFonts w:hint="eastAsia" w:asciiTheme="minorEastAsia" w:hAnsiTheme="minorEastAsia" w:cstheme="minorEastAsia"/>
          <w:sz w:val="24"/>
          <w:szCs w:val="24"/>
          <w:lang w:val="en-US" w:eastAsia="zh-CN"/>
        </w:rPr>
        <w:t>3</w:t>
      </w:r>
      <w:r>
        <w:rPr>
          <w:rFonts w:hint="eastAsia" w:asciiTheme="minorEastAsia" w:hAnsiTheme="minorEastAsia" w:cstheme="minorEastAsia"/>
          <w:sz w:val="24"/>
          <w:szCs w:val="24"/>
        </w:rPr>
        <w:t>）法定代表人身份证复印件（加盖</w:t>
      </w:r>
      <w:r>
        <w:rPr>
          <w:rFonts w:hint="eastAsia" w:asciiTheme="minorEastAsia" w:hAnsiTheme="minorEastAsia" w:cstheme="minorEastAsia"/>
          <w:sz w:val="24"/>
          <w:szCs w:val="24"/>
          <w:lang w:eastAsia="zh-CN"/>
        </w:rPr>
        <w:t>报价</w:t>
      </w:r>
      <w:r>
        <w:rPr>
          <w:rFonts w:hint="eastAsia" w:asciiTheme="minorEastAsia" w:hAnsiTheme="minorEastAsia" w:cstheme="minorEastAsia"/>
          <w:sz w:val="24"/>
          <w:szCs w:val="24"/>
        </w:rPr>
        <w:t>单位公章）；</w:t>
      </w:r>
    </w:p>
    <w:p w14:paraId="6AA5DF6C">
      <w:pPr>
        <w:pStyle w:val="39"/>
        <w:spacing w:line="360" w:lineRule="auto"/>
        <w:rPr>
          <w:rFonts w:hint="eastAsia" w:asciiTheme="minorEastAsia" w:hAnsiTheme="minorEastAsia" w:cstheme="minorEastAsia"/>
          <w:sz w:val="24"/>
          <w:szCs w:val="24"/>
        </w:rPr>
      </w:pPr>
      <w:r>
        <w:rPr>
          <w:rFonts w:hint="eastAsia" w:asciiTheme="minorEastAsia" w:hAnsiTheme="minorEastAsia" w:cstheme="minorEastAsia"/>
          <w:sz w:val="24"/>
          <w:szCs w:val="24"/>
        </w:rPr>
        <w:t>（</w:t>
      </w:r>
      <w:r>
        <w:rPr>
          <w:rFonts w:hint="eastAsia" w:asciiTheme="minorEastAsia" w:hAnsiTheme="minorEastAsia" w:cstheme="minorEastAsia"/>
          <w:sz w:val="24"/>
          <w:szCs w:val="24"/>
          <w:lang w:val="en-US" w:eastAsia="zh-CN"/>
        </w:rPr>
        <w:t>4</w:t>
      </w:r>
      <w:r>
        <w:rPr>
          <w:rFonts w:hint="eastAsia" w:asciiTheme="minorEastAsia" w:hAnsiTheme="minorEastAsia" w:cstheme="minorEastAsia"/>
          <w:sz w:val="24"/>
          <w:szCs w:val="24"/>
        </w:rPr>
        <w:t>）报价承诺书（按照附件</w:t>
      </w:r>
      <w:r>
        <w:rPr>
          <w:rFonts w:hint="eastAsia" w:asciiTheme="minorEastAsia" w:hAnsiTheme="minorEastAsia" w:cstheme="minorEastAsia"/>
          <w:sz w:val="24"/>
          <w:szCs w:val="24"/>
          <w:lang w:eastAsia="zh-CN"/>
        </w:rPr>
        <w:t>二</w:t>
      </w:r>
      <w:r>
        <w:rPr>
          <w:rFonts w:hint="eastAsia" w:asciiTheme="minorEastAsia" w:hAnsiTheme="minorEastAsia" w:cstheme="minorEastAsia"/>
          <w:sz w:val="24"/>
          <w:szCs w:val="24"/>
        </w:rPr>
        <w:t>格式填写）；</w:t>
      </w:r>
    </w:p>
    <w:p w14:paraId="2EF67E2A">
      <w:pPr>
        <w:pStyle w:val="39"/>
        <w:spacing w:line="360" w:lineRule="auto"/>
        <w:rPr>
          <w:rFonts w:hint="eastAsia" w:asciiTheme="minorEastAsia" w:hAnsiTheme="minorEastAsia" w:cstheme="minorEastAsia"/>
          <w:sz w:val="24"/>
          <w:szCs w:val="24"/>
        </w:rPr>
      </w:pPr>
      <w:r>
        <w:rPr>
          <w:rFonts w:hint="eastAsia" w:asciiTheme="minorEastAsia" w:hAnsiTheme="minorEastAsia" w:cstheme="minorEastAsia"/>
          <w:sz w:val="24"/>
          <w:szCs w:val="24"/>
        </w:rPr>
        <w:t>（</w:t>
      </w:r>
      <w:r>
        <w:rPr>
          <w:rFonts w:hint="eastAsia" w:asciiTheme="minorEastAsia" w:hAnsiTheme="minorEastAsia" w:cstheme="minorEastAsia"/>
          <w:sz w:val="24"/>
          <w:szCs w:val="24"/>
          <w:lang w:val="en-US" w:eastAsia="zh-CN"/>
        </w:rPr>
        <w:t>5</w:t>
      </w:r>
      <w:r>
        <w:rPr>
          <w:rFonts w:hint="eastAsia" w:asciiTheme="minorEastAsia" w:hAnsiTheme="minorEastAsia" w:cstheme="minorEastAsia"/>
          <w:sz w:val="24"/>
          <w:szCs w:val="24"/>
        </w:rPr>
        <w:t>）质保承诺书（按照附件</w:t>
      </w:r>
      <w:r>
        <w:rPr>
          <w:rFonts w:hint="eastAsia" w:asciiTheme="minorEastAsia" w:hAnsiTheme="minorEastAsia" w:cstheme="minorEastAsia"/>
          <w:sz w:val="24"/>
          <w:szCs w:val="24"/>
          <w:lang w:eastAsia="zh-CN"/>
        </w:rPr>
        <w:t>三</w:t>
      </w:r>
      <w:r>
        <w:rPr>
          <w:rFonts w:hint="eastAsia" w:asciiTheme="minorEastAsia" w:hAnsiTheme="minorEastAsia" w:cstheme="minorEastAsia"/>
          <w:sz w:val="24"/>
          <w:szCs w:val="24"/>
        </w:rPr>
        <w:t>格式填写）；</w:t>
      </w:r>
    </w:p>
    <w:p w14:paraId="0128FA04">
      <w:pPr>
        <w:pStyle w:val="39"/>
        <w:spacing w:line="360" w:lineRule="auto"/>
        <w:rPr>
          <w:rFonts w:hint="eastAsia" w:asciiTheme="minorEastAsia" w:hAnsiTheme="minorEastAsia" w:cstheme="minorEastAsia"/>
          <w:sz w:val="24"/>
          <w:szCs w:val="24"/>
        </w:rPr>
      </w:pPr>
      <w:r>
        <w:rPr>
          <w:rFonts w:hint="eastAsia" w:asciiTheme="minorEastAsia" w:hAnsiTheme="minorEastAsia" w:cstheme="minorEastAsia"/>
          <w:sz w:val="24"/>
          <w:szCs w:val="24"/>
        </w:rPr>
        <w:t>（</w:t>
      </w:r>
      <w:r>
        <w:rPr>
          <w:rFonts w:hint="eastAsia" w:asciiTheme="minorEastAsia" w:hAnsiTheme="minorEastAsia" w:cstheme="minorEastAsia"/>
          <w:sz w:val="24"/>
          <w:szCs w:val="24"/>
          <w:lang w:val="en-US" w:eastAsia="zh-CN"/>
        </w:rPr>
        <w:t>6</w:t>
      </w:r>
      <w:r>
        <w:rPr>
          <w:rFonts w:hint="eastAsia" w:asciiTheme="minorEastAsia" w:hAnsiTheme="minorEastAsia" w:cstheme="minorEastAsia"/>
          <w:sz w:val="24"/>
          <w:szCs w:val="24"/>
        </w:rPr>
        <w:t>）</w:t>
      </w:r>
      <w:r>
        <w:rPr>
          <w:rFonts w:hint="eastAsia" w:asciiTheme="minorEastAsia" w:hAnsiTheme="minorEastAsia" w:cstheme="minorEastAsia"/>
          <w:sz w:val="24"/>
          <w:szCs w:val="24"/>
          <w:lang w:val="zh-CN"/>
        </w:rPr>
        <w:t>商务部分正负偏离表（</w:t>
      </w:r>
      <w:r>
        <w:rPr>
          <w:rFonts w:hint="eastAsia" w:asciiTheme="minorEastAsia" w:hAnsiTheme="minorEastAsia" w:cstheme="minorEastAsia"/>
          <w:sz w:val="24"/>
          <w:szCs w:val="24"/>
        </w:rPr>
        <w:t>按照附件</w:t>
      </w:r>
      <w:r>
        <w:rPr>
          <w:rFonts w:hint="eastAsia" w:asciiTheme="minorEastAsia" w:hAnsiTheme="minorEastAsia" w:cstheme="minorEastAsia"/>
          <w:sz w:val="24"/>
          <w:szCs w:val="24"/>
          <w:lang w:val="en-US" w:eastAsia="zh-CN"/>
        </w:rPr>
        <w:t>四</w:t>
      </w:r>
      <w:r>
        <w:rPr>
          <w:rFonts w:hint="eastAsia" w:asciiTheme="minorEastAsia" w:hAnsiTheme="minorEastAsia" w:cstheme="minorEastAsia"/>
          <w:sz w:val="24"/>
          <w:szCs w:val="24"/>
        </w:rPr>
        <w:t>格式填写</w:t>
      </w:r>
      <w:r>
        <w:rPr>
          <w:rFonts w:hint="eastAsia" w:asciiTheme="minorEastAsia" w:hAnsiTheme="minorEastAsia" w:cstheme="minorEastAsia"/>
          <w:sz w:val="24"/>
          <w:szCs w:val="24"/>
          <w:lang w:val="zh-CN"/>
        </w:rPr>
        <w:t>）、技术部分正负偏离表（</w:t>
      </w:r>
      <w:r>
        <w:rPr>
          <w:rFonts w:hint="eastAsia" w:asciiTheme="minorEastAsia" w:hAnsiTheme="minorEastAsia" w:cstheme="minorEastAsia"/>
          <w:sz w:val="24"/>
          <w:szCs w:val="24"/>
        </w:rPr>
        <w:t>按照附件</w:t>
      </w:r>
      <w:r>
        <w:rPr>
          <w:rFonts w:hint="eastAsia" w:asciiTheme="minorEastAsia" w:hAnsiTheme="minorEastAsia" w:cstheme="minorEastAsia"/>
          <w:sz w:val="24"/>
          <w:szCs w:val="24"/>
          <w:lang w:val="en-US" w:eastAsia="zh-CN"/>
        </w:rPr>
        <w:t>五</w:t>
      </w:r>
      <w:r>
        <w:rPr>
          <w:rFonts w:hint="eastAsia" w:asciiTheme="minorEastAsia" w:hAnsiTheme="minorEastAsia" w:cstheme="minorEastAsia"/>
          <w:sz w:val="24"/>
          <w:szCs w:val="24"/>
        </w:rPr>
        <w:t>格式填写</w:t>
      </w:r>
      <w:r>
        <w:rPr>
          <w:rFonts w:hint="eastAsia" w:asciiTheme="minorEastAsia" w:hAnsiTheme="minorEastAsia" w:cstheme="minorEastAsia"/>
          <w:sz w:val="24"/>
          <w:szCs w:val="24"/>
          <w:lang w:val="zh-CN"/>
        </w:rPr>
        <w:t>）；</w:t>
      </w:r>
      <w:r>
        <w:rPr>
          <w:rFonts w:hint="eastAsia" w:asciiTheme="minorEastAsia" w:hAnsiTheme="minorEastAsia" w:cstheme="minorEastAsia"/>
          <w:sz w:val="24"/>
          <w:szCs w:val="24"/>
        </w:rPr>
        <w:t xml:space="preserve"> </w:t>
      </w:r>
    </w:p>
    <w:p w14:paraId="2FDEF2D4">
      <w:pPr>
        <w:pStyle w:val="39"/>
        <w:spacing w:line="360" w:lineRule="auto"/>
        <w:rPr>
          <w:rFonts w:hint="eastAsia" w:asciiTheme="minorEastAsia" w:hAnsiTheme="minorEastAsia" w:cstheme="minorEastAsia"/>
          <w:sz w:val="24"/>
          <w:szCs w:val="24"/>
        </w:rPr>
      </w:pPr>
      <w:r>
        <w:rPr>
          <w:rFonts w:hint="eastAsia" w:asciiTheme="minorEastAsia" w:hAnsiTheme="minorEastAsia" w:cstheme="minorEastAsia"/>
          <w:sz w:val="24"/>
          <w:szCs w:val="24"/>
        </w:rPr>
        <w:t>（</w:t>
      </w:r>
      <w:r>
        <w:rPr>
          <w:rFonts w:hint="eastAsia" w:asciiTheme="minorEastAsia" w:hAnsiTheme="minorEastAsia" w:cstheme="minorEastAsia"/>
          <w:sz w:val="24"/>
          <w:szCs w:val="24"/>
          <w:lang w:val="en-US" w:eastAsia="zh-CN"/>
        </w:rPr>
        <w:t>7</w:t>
      </w:r>
      <w:r>
        <w:rPr>
          <w:rFonts w:hint="eastAsia" w:asciiTheme="minorEastAsia" w:hAnsiTheme="minorEastAsia" w:cstheme="minorEastAsia"/>
          <w:sz w:val="24"/>
          <w:szCs w:val="24"/>
        </w:rPr>
        <w:t>）报价表：报价表（按照附件</w:t>
      </w:r>
      <w:r>
        <w:rPr>
          <w:rFonts w:hint="eastAsia" w:asciiTheme="minorEastAsia" w:hAnsiTheme="minorEastAsia" w:cstheme="minorEastAsia"/>
          <w:sz w:val="24"/>
          <w:szCs w:val="24"/>
          <w:lang w:val="en-US" w:eastAsia="zh-CN"/>
        </w:rPr>
        <w:t>六</w:t>
      </w:r>
      <w:r>
        <w:rPr>
          <w:rFonts w:hint="eastAsia" w:asciiTheme="minorEastAsia" w:hAnsiTheme="minorEastAsia" w:cstheme="minorEastAsia"/>
          <w:sz w:val="24"/>
          <w:szCs w:val="24"/>
        </w:rPr>
        <w:t>格式填写）；</w:t>
      </w:r>
    </w:p>
    <w:p w14:paraId="774A1583">
      <w:pPr>
        <w:pStyle w:val="39"/>
        <w:spacing w:line="360" w:lineRule="auto"/>
        <w:ind w:firstLine="480" w:firstLineChars="200"/>
        <w:rPr>
          <w:rFonts w:hint="eastAsia" w:asciiTheme="minorEastAsia" w:hAnsiTheme="minorEastAsia" w:cstheme="minorEastAsia"/>
          <w:sz w:val="24"/>
          <w:szCs w:val="24"/>
          <w:u w:val="single"/>
          <w:lang w:val="en-US" w:eastAsia="zh-CN"/>
        </w:rPr>
      </w:pPr>
      <w:r>
        <w:rPr>
          <w:rFonts w:hint="eastAsia" w:asciiTheme="minorEastAsia" w:hAnsiTheme="minorEastAsia" w:cstheme="minorEastAsia"/>
          <w:sz w:val="24"/>
          <w:szCs w:val="24"/>
          <w:u w:val="single"/>
          <w:lang w:val="en-US" w:eastAsia="zh-CN"/>
        </w:rPr>
        <w:t>报价文件中必须包含上述要求提供的所有材料，否则以未实质性响应询价文件处理。报价文件装订成册并密封，密封袋上标明：项目名称、报价单位名称，否则视为无效报价。</w:t>
      </w:r>
    </w:p>
    <w:p w14:paraId="7648AF12">
      <w:pPr>
        <w:snapToGrid w:val="0"/>
        <w:spacing w:line="500" w:lineRule="exact"/>
        <w:rPr>
          <w:rFonts w:hint="eastAsia" w:ascii="宋体" w:hAnsi="宋体" w:eastAsia="宋体" w:cs="宋体"/>
          <w:b/>
          <w:bCs/>
          <w:sz w:val="24"/>
          <w:highlight w:val="none"/>
        </w:rPr>
      </w:pPr>
      <w:r>
        <w:rPr>
          <w:rFonts w:hint="eastAsia" w:ascii="宋体" w:hAnsi="宋体" w:eastAsia="宋体" w:cs="宋体"/>
          <w:b/>
          <w:bCs/>
          <w:sz w:val="24"/>
          <w:highlight w:val="none"/>
        </w:rPr>
        <w:t xml:space="preserve">    4、报价文件递交</w:t>
      </w:r>
    </w:p>
    <w:p w14:paraId="3A00CC14">
      <w:pPr>
        <w:snapToGrid w:val="0"/>
        <w:spacing w:line="5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报价文件请于</w:t>
      </w:r>
      <w:r>
        <w:rPr>
          <w:rFonts w:hint="eastAsia" w:ascii="宋体" w:hAnsi="宋体" w:eastAsia="宋体" w:cs="宋体"/>
          <w:sz w:val="24"/>
          <w:highlight w:val="none"/>
          <w:u w:val="single"/>
        </w:rPr>
        <w:t>20</w:t>
      </w:r>
      <w:r>
        <w:rPr>
          <w:rFonts w:hint="eastAsia" w:ascii="宋体" w:hAnsi="宋体" w:eastAsia="宋体" w:cs="宋体"/>
          <w:sz w:val="24"/>
          <w:highlight w:val="none"/>
          <w:u w:val="single"/>
          <w:lang w:val="en-US" w:eastAsia="zh-CN"/>
        </w:rPr>
        <w:t>26</w:t>
      </w:r>
      <w:r>
        <w:rPr>
          <w:rFonts w:hint="eastAsia" w:ascii="宋体" w:hAnsi="宋体" w:eastAsia="宋体" w:cs="宋体"/>
          <w:sz w:val="24"/>
          <w:highlight w:val="none"/>
          <w:u w:val="single"/>
        </w:rPr>
        <w:t>年</w:t>
      </w:r>
      <w:r>
        <w:rPr>
          <w:rFonts w:hint="eastAsia" w:ascii="宋体" w:hAnsi="宋体" w:eastAsia="宋体" w:cs="宋体"/>
          <w:sz w:val="24"/>
          <w:highlight w:val="none"/>
          <w:u w:val="single"/>
          <w:lang w:val="en-US" w:eastAsia="zh-CN"/>
        </w:rPr>
        <w:t>5</w:t>
      </w:r>
      <w:r>
        <w:rPr>
          <w:rFonts w:hint="eastAsia" w:ascii="宋体" w:hAnsi="宋体" w:eastAsia="宋体" w:cs="宋体"/>
          <w:sz w:val="24"/>
          <w:highlight w:val="none"/>
          <w:u w:val="single"/>
        </w:rPr>
        <w:t>月</w:t>
      </w:r>
      <w:r>
        <w:rPr>
          <w:rFonts w:hint="eastAsia" w:ascii="宋体" w:hAnsi="宋体" w:eastAsia="宋体" w:cs="宋体"/>
          <w:sz w:val="24"/>
          <w:highlight w:val="none"/>
          <w:u w:val="single"/>
          <w:lang w:val="en-US" w:eastAsia="zh-CN"/>
        </w:rPr>
        <w:t>2</w:t>
      </w:r>
      <w:r>
        <w:rPr>
          <w:rFonts w:hint="default" w:ascii="宋体" w:hAnsi="宋体" w:eastAsia="宋体" w:cs="宋体"/>
          <w:sz w:val="24"/>
          <w:highlight w:val="none"/>
          <w:u w:val="single"/>
          <w:lang w:val="en-US" w:eastAsia="zh-CN"/>
        </w:rPr>
        <w:t>6</w:t>
      </w:r>
      <w:r>
        <w:rPr>
          <w:rFonts w:hint="eastAsia" w:ascii="宋体" w:hAnsi="宋体" w:eastAsia="宋体" w:cs="宋体"/>
          <w:sz w:val="24"/>
          <w:highlight w:val="none"/>
          <w:u w:val="single"/>
        </w:rPr>
        <w:t>日</w:t>
      </w:r>
      <w:r>
        <w:rPr>
          <w:rFonts w:hint="eastAsia" w:ascii="宋体" w:hAnsi="宋体" w:eastAsia="宋体" w:cs="宋体"/>
          <w:sz w:val="24"/>
          <w:highlight w:val="none"/>
          <w:u w:val="single"/>
          <w:lang w:val="en-US" w:eastAsia="zh-CN"/>
        </w:rPr>
        <w:t>10时00分</w:t>
      </w:r>
      <w:r>
        <w:rPr>
          <w:rFonts w:hint="eastAsia" w:ascii="宋体" w:hAnsi="宋体" w:eastAsia="宋体" w:cs="宋体"/>
          <w:sz w:val="24"/>
          <w:highlight w:val="none"/>
        </w:rPr>
        <w:t>密封送至</w:t>
      </w:r>
      <w:r>
        <w:rPr>
          <w:rFonts w:hint="eastAsia" w:ascii="宋体" w:hAnsi="宋体" w:eastAsia="宋体" w:cs="宋体"/>
          <w:b/>
          <w:bCs/>
          <w:sz w:val="24"/>
          <w:highlight w:val="none"/>
        </w:rPr>
        <w:t>英邦小学综合楼101室</w:t>
      </w:r>
      <w:r>
        <w:rPr>
          <w:rFonts w:hint="eastAsia" w:ascii="宋体" w:hAnsi="宋体" w:eastAsia="宋体" w:cs="宋体"/>
          <w:sz w:val="24"/>
          <w:highlight w:val="none"/>
        </w:rPr>
        <w:t>登记，逾时则不予受理。</w:t>
      </w:r>
    </w:p>
    <w:p w14:paraId="5A365F6B">
      <w:pPr>
        <w:snapToGrid w:val="0"/>
        <w:spacing w:line="500" w:lineRule="exact"/>
        <w:rPr>
          <w:rFonts w:hint="eastAsia" w:ascii="宋体" w:hAnsi="宋体" w:eastAsia="宋体" w:cs="宋体"/>
          <w:b/>
          <w:bCs/>
          <w:sz w:val="24"/>
          <w:highlight w:val="none"/>
        </w:rPr>
      </w:pPr>
      <w:r>
        <w:rPr>
          <w:rFonts w:hint="eastAsia" w:ascii="宋体" w:hAnsi="宋体" w:eastAsia="宋体" w:cs="宋体"/>
          <w:sz w:val="24"/>
          <w:highlight w:val="none"/>
        </w:rPr>
        <w:t xml:space="preserve">   </w:t>
      </w:r>
      <w:r>
        <w:rPr>
          <w:rFonts w:hint="eastAsia" w:ascii="宋体" w:hAnsi="宋体" w:eastAsia="宋体" w:cs="宋体"/>
          <w:b/>
          <w:bCs/>
          <w:sz w:val="24"/>
          <w:highlight w:val="none"/>
        </w:rPr>
        <w:t xml:space="preserve"> 5.开标</w:t>
      </w:r>
    </w:p>
    <w:p w14:paraId="795C2C05">
      <w:pPr>
        <w:snapToGrid w:val="0"/>
        <w:spacing w:line="500" w:lineRule="exact"/>
        <w:ind w:firstLine="482" w:firstLineChars="200"/>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rPr>
        <w:t>时间：</w:t>
      </w:r>
      <w:r>
        <w:rPr>
          <w:rFonts w:hint="eastAsia" w:ascii="宋体" w:hAnsi="宋体" w:eastAsia="宋体" w:cs="宋体"/>
          <w:b/>
          <w:bCs/>
          <w:sz w:val="24"/>
          <w:highlight w:val="none"/>
          <w:lang w:val="en-GB"/>
        </w:rPr>
        <w:t>2026</w:t>
      </w:r>
      <w:r>
        <w:rPr>
          <w:rFonts w:hint="eastAsia" w:ascii="宋体" w:hAnsi="宋体" w:eastAsia="宋体" w:cs="宋体"/>
          <w:b/>
          <w:bCs/>
          <w:sz w:val="24"/>
          <w:highlight w:val="none"/>
        </w:rPr>
        <w:t>年</w:t>
      </w:r>
      <w:r>
        <w:rPr>
          <w:rFonts w:hint="eastAsia" w:ascii="宋体" w:hAnsi="宋体" w:eastAsia="宋体" w:cs="宋体"/>
          <w:b/>
          <w:bCs/>
          <w:sz w:val="24"/>
          <w:highlight w:val="none"/>
          <w:lang w:val="en-US" w:eastAsia="zh-CN"/>
        </w:rPr>
        <w:t>5</w:t>
      </w:r>
      <w:r>
        <w:rPr>
          <w:rFonts w:hint="eastAsia" w:ascii="宋体" w:hAnsi="宋体" w:eastAsia="宋体" w:cs="宋体"/>
          <w:b/>
          <w:bCs/>
          <w:sz w:val="24"/>
          <w:highlight w:val="none"/>
        </w:rPr>
        <w:t>月</w:t>
      </w:r>
      <w:r>
        <w:rPr>
          <w:rFonts w:hint="eastAsia" w:ascii="宋体" w:hAnsi="宋体" w:eastAsia="宋体" w:cs="宋体"/>
          <w:b/>
          <w:bCs/>
          <w:sz w:val="24"/>
          <w:highlight w:val="none"/>
          <w:lang w:val="en-US" w:eastAsia="zh-CN"/>
        </w:rPr>
        <w:t>2</w:t>
      </w:r>
      <w:r>
        <w:rPr>
          <w:rFonts w:hint="default" w:ascii="宋体" w:hAnsi="宋体" w:eastAsia="宋体" w:cs="宋体"/>
          <w:b/>
          <w:bCs/>
          <w:sz w:val="24"/>
          <w:highlight w:val="none"/>
          <w:lang w:val="en-US" w:eastAsia="zh-CN"/>
        </w:rPr>
        <w:t>6</w:t>
      </w:r>
      <w:r>
        <w:rPr>
          <w:rFonts w:hint="eastAsia" w:ascii="宋体" w:hAnsi="宋体" w:eastAsia="宋体" w:cs="宋体"/>
          <w:b/>
          <w:bCs/>
          <w:sz w:val="24"/>
          <w:highlight w:val="none"/>
        </w:rPr>
        <w:t>日上午10：00</w:t>
      </w:r>
      <w:r>
        <w:rPr>
          <w:rFonts w:hint="eastAsia" w:ascii="宋体" w:hAnsi="宋体" w:eastAsia="宋体" w:cs="宋体"/>
          <w:b/>
          <w:bCs/>
          <w:sz w:val="24"/>
          <w:highlight w:val="none"/>
          <w:lang w:val="en-US" w:eastAsia="zh-CN"/>
        </w:rPr>
        <w:t>时</w:t>
      </w:r>
    </w:p>
    <w:p w14:paraId="2A455B57">
      <w:pPr>
        <w:snapToGrid w:val="0"/>
        <w:spacing w:line="500" w:lineRule="exact"/>
        <w:ind w:firstLine="482" w:firstLineChars="200"/>
        <w:rPr>
          <w:rFonts w:hint="eastAsia" w:ascii="宋体" w:hAnsi="宋体" w:eastAsia="宋体" w:cs="宋体"/>
          <w:b/>
          <w:bCs/>
          <w:sz w:val="24"/>
        </w:rPr>
      </w:pPr>
      <w:r>
        <w:rPr>
          <w:rFonts w:hint="eastAsia" w:ascii="宋体" w:hAnsi="宋体" w:eastAsia="宋体" w:cs="宋体"/>
          <w:b/>
          <w:bCs/>
          <w:sz w:val="24"/>
        </w:rPr>
        <w:t>地点：英邦小学综合楼101室</w:t>
      </w:r>
    </w:p>
    <w:p w14:paraId="567DC747">
      <w:pPr>
        <w:snapToGrid w:val="0"/>
        <w:spacing w:line="500" w:lineRule="exact"/>
        <w:ind w:firstLine="482" w:firstLineChars="200"/>
        <w:rPr>
          <w:rFonts w:hint="eastAsia" w:ascii="宋体" w:hAnsi="宋体" w:eastAsia="宋体" w:cs="宋体"/>
          <w:sz w:val="24"/>
        </w:rPr>
      </w:pPr>
      <w:r>
        <w:rPr>
          <w:rFonts w:hint="eastAsia" w:ascii="宋体" w:hAnsi="宋体" w:eastAsia="宋体" w:cs="宋体"/>
          <w:b/>
          <w:bCs/>
          <w:sz w:val="24"/>
        </w:rPr>
        <w:t>6.履约保证金：被确定成交的服务供应商，必须在签订合同前向采购单位交纳履约保证金（汇入采购单位指定的财政专户），履约保证金金额为合同价的10％。成交供应商全部履约合同义务，经采购单位验收合格无质量、进度等问题的，采购</w:t>
      </w:r>
      <w:r>
        <w:rPr>
          <w:rFonts w:hint="eastAsia" w:ascii="宋体" w:hAnsi="宋体" w:eastAsia="宋体" w:cs="宋体"/>
          <w:b/>
          <w:bCs/>
          <w:sz w:val="24"/>
          <w:lang w:eastAsia="zh-CN"/>
        </w:rPr>
        <w:t>单位</w:t>
      </w:r>
      <w:r>
        <w:rPr>
          <w:rFonts w:hint="eastAsia" w:ascii="宋体" w:hAnsi="宋体" w:eastAsia="宋体" w:cs="宋体"/>
          <w:b/>
          <w:bCs/>
          <w:sz w:val="24"/>
        </w:rPr>
        <w:t>在验收合格后一次性退还履约保证金（利息不计）。</w:t>
      </w:r>
    </w:p>
    <w:p w14:paraId="5978E337">
      <w:pPr>
        <w:snapToGrid w:val="0"/>
        <w:spacing w:line="500" w:lineRule="exact"/>
        <w:rPr>
          <w:rFonts w:hint="eastAsia" w:ascii="宋体" w:hAnsi="宋体" w:eastAsia="宋体" w:cs="宋体"/>
          <w:sz w:val="24"/>
        </w:rPr>
      </w:pPr>
      <w:r>
        <w:rPr>
          <w:rFonts w:hint="eastAsia" w:ascii="宋体" w:hAnsi="宋体" w:eastAsia="宋体" w:cs="宋体"/>
          <w:b/>
          <w:sz w:val="24"/>
        </w:rPr>
        <w:t>五、商务部分要求：</w:t>
      </w:r>
    </w:p>
    <w:p w14:paraId="7DD7C662">
      <w:pPr>
        <w:snapToGrid w:val="0"/>
        <w:spacing w:line="500" w:lineRule="exact"/>
        <w:ind w:firstLine="561"/>
        <w:rPr>
          <w:rFonts w:hint="eastAsia" w:ascii="宋体" w:hAnsi="宋体" w:eastAsia="宋体" w:cs="宋体"/>
          <w:kern w:val="0"/>
          <w:sz w:val="24"/>
        </w:rPr>
      </w:pPr>
      <w:r>
        <w:rPr>
          <w:rFonts w:hint="eastAsia" w:ascii="宋体" w:hAnsi="宋体" w:eastAsia="宋体" w:cs="宋体"/>
          <w:b/>
          <w:sz w:val="24"/>
        </w:rPr>
        <w:t>1.质量要求：</w:t>
      </w:r>
      <w:r>
        <w:rPr>
          <w:rFonts w:hint="eastAsia" w:ascii="宋体" w:hAnsi="宋体" w:eastAsia="宋体" w:cs="宋体"/>
          <w:bCs/>
          <w:sz w:val="24"/>
        </w:rPr>
        <w:t>供应商须提供符合采购需求、符合国家质量检测标准的全新合格产品。</w:t>
      </w:r>
    </w:p>
    <w:p w14:paraId="55ED159A">
      <w:pPr>
        <w:snapToGrid w:val="0"/>
        <w:spacing w:line="480" w:lineRule="exact"/>
        <w:ind w:firstLine="482" w:firstLineChars="200"/>
        <w:rPr>
          <w:rFonts w:hint="eastAsia" w:ascii="宋体" w:hAnsi="宋体" w:eastAsia="宋体" w:cs="宋体"/>
          <w:bCs/>
          <w:sz w:val="24"/>
        </w:rPr>
      </w:pPr>
      <w:r>
        <w:rPr>
          <w:rFonts w:hint="eastAsia" w:ascii="宋体" w:hAnsi="宋体" w:eastAsia="宋体" w:cs="宋体"/>
          <w:b/>
          <w:sz w:val="24"/>
        </w:rPr>
        <w:t>2.质保、售后服务要求：三</w:t>
      </w:r>
      <w:r>
        <w:rPr>
          <w:rFonts w:hint="eastAsia" w:ascii="宋体" w:hAnsi="宋体" w:eastAsia="宋体" w:cs="宋体"/>
          <w:bCs/>
          <w:sz w:val="24"/>
        </w:rPr>
        <w:t>年。质保期限内成交供应商应免费维修，所有货物质保时间为自验收合格之日起计。</w:t>
      </w:r>
    </w:p>
    <w:p w14:paraId="2E91CCB2">
      <w:pPr>
        <w:snapToGrid w:val="0"/>
        <w:spacing w:line="480" w:lineRule="exact"/>
        <w:ind w:firstLine="480" w:firstLineChars="200"/>
        <w:rPr>
          <w:rFonts w:hint="eastAsia" w:ascii="宋体" w:hAnsi="宋体" w:eastAsia="宋体" w:cs="宋体"/>
          <w:sz w:val="24"/>
        </w:rPr>
      </w:pPr>
      <w:r>
        <w:rPr>
          <w:rFonts w:hint="eastAsia" w:ascii="宋体" w:hAnsi="宋体" w:eastAsia="宋体" w:cs="宋体"/>
          <w:bCs/>
          <w:sz w:val="24"/>
        </w:rPr>
        <w:t>在免费质保期内，供应商在接到用户单位电话通知后，必须在12小时之内上门服务，并在12小时内负责修复。如需更换货物或送修，必须在24小时内提供备用货物，并在7个工作日内负责对送修货物维修完毕并送至用户单位处。</w:t>
      </w:r>
    </w:p>
    <w:p w14:paraId="7CB81867">
      <w:pPr>
        <w:snapToGrid w:val="0"/>
        <w:spacing w:line="500" w:lineRule="exact"/>
        <w:ind w:firstLine="561"/>
        <w:rPr>
          <w:rFonts w:hint="eastAsia" w:ascii="宋体" w:hAnsi="宋体" w:eastAsia="宋体" w:cs="宋体"/>
          <w:kern w:val="0"/>
          <w:sz w:val="24"/>
        </w:rPr>
      </w:pPr>
      <w:r>
        <w:rPr>
          <w:rFonts w:hint="eastAsia" w:ascii="宋体" w:hAnsi="宋体" w:eastAsia="宋体" w:cs="宋体"/>
          <w:b/>
          <w:bCs/>
          <w:sz w:val="24"/>
        </w:rPr>
        <w:t>3.交货期:</w:t>
      </w:r>
      <w:r>
        <w:rPr>
          <w:rFonts w:hint="eastAsia" w:ascii="宋体" w:hAnsi="宋体" w:eastAsia="宋体" w:cs="宋体"/>
          <w:kern w:val="0"/>
          <w:sz w:val="24"/>
        </w:rPr>
        <w:t xml:space="preserve"> 合同签订后，接采购单位的书面通知45天（日历天）内完成货物供货、安装、检验，否则按违约处理。</w:t>
      </w:r>
    </w:p>
    <w:p w14:paraId="547F7A37">
      <w:pPr>
        <w:snapToGrid w:val="0"/>
        <w:spacing w:line="500" w:lineRule="exact"/>
        <w:ind w:firstLine="561"/>
        <w:rPr>
          <w:rFonts w:hint="eastAsia" w:ascii="宋体" w:hAnsi="宋体" w:eastAsia="宋体" w:cs="宋体"/>
          <w:sz w:val="24"/>
        </w:rPr>
      </w:pPr>
      <w:r>
        <w:rPr>
          <w:rFonts w:hint="eastAsia" w:ascii="宋体" w:hAnsi="宋体" w:eastAsia="宋体" w:cs="宋体"/>
          <w:b/>
          <w:bCs/>
          <w:sz w:val="24"/>
        </w:rPr>
        <w:t>4.交货地点：</w:t>
      </w:r>
      <w:r>
        <w:rPr>
          <w:rFonts w:hint="eastAsia" w:ascii="宋体" w:hAnsi="宋体" w:eastAsia="宋体" w:cs="宋体"/>
          <w:kern w:val="0"/>
          <w:sz w:val="24"/>
        </w:rPr>
        <w:t>成交供应商应按照招标人的要求，在指定位置交货、安装牢固，确保正常使用。</w:t>
      </w:r>
    </w:p>
    <w:p w14:paraId="4945AD05">
      <w:pPr>
        <w:snapToGrid w:val="0"/>
        <w:spacing w:line="500" w:lineRule="exact"/>
        <w:ind w:firstLine="472" w:firstLineChars="196"/>
        <w:rPr>
          <w:rFonts w:hint="eastAsia" w:ascii="宋体" w:hAnsi="宋体" w:eastAsia="宋体" w:cs="宋体"/>
          <w:b/>
          <w:bCs/>
          <w:sz w:val="24"/>
        </w:rPr>
      </w:pPr>
      <w:r>
        <w:rPr>
          <w:rFonts w:hint="eastAsia" w:ascii="宋体" w:hAnsi="宋体" w:eastAsia="宋体" w:cs="宋体"/>
          <w:b/>
          <w:bCs/>
          <w:sz w:val="24"/>
        </w:rPr>
        <w:t>5.约定事项：</w:t>
      </w:r>
    </w:p>
    <w:p w14:paraId="501118A2">
      <w:pPr>
        <w:adjustRightInd w:val="0"/>
        <w:snapToGrid w:val="0"/>
        <w:spacing w:line="500" w:lineRule="exact"/>
        <w:ind w:firstLine="420"/>
        <w:rPr>
          <w:rFonts w:hint="eastAsia" w:ascii="宋体" w:hAnsi="宋体" w:eastAsia="宋体" w:cs="宋体"/>
          <w:bCs/>
          <w:sz w:val="24"/>
        </w:rPr>
      </w:pPr>
      <w:r>
        <w:rPr>
          <w:rFonts w:hint="eastAsia" w:ascii="宋体" w:hAnsi="宋体" w:eastAsia="宋体" w:cs="宋体"/>
          <w:bCs/>
          <w:sz w:val="24"/>
        </w:rPr>
        <w:t>在成交供应商供货安装完毕后，采购单位将组织验收小组根据询价公告和供应商报价文件对供应商所供货物进行验收。如验收时发现有参数偏离且未在报价文件中说明的，视为验收不合格。</w:t>
      </w:r>
    </w:p>
    <w:p w14:paraId="22867311">
      <w:pPr>
        <w:snapToGrid w:val="0"/>
        <w:spacing w:line="500" w:lineRule="exact"/>
        <w:rPr>
          <w:rFonts w:hint="eastAsia" w:ascii="宋体" w:hAnsi="宋体" w:eastAsia="宋体" w:cs="宋体"/>
          <w:b/>
          <w:sz w:val="24"/>
        </w:rPr>
      </w:pPr>
      <w:r>
        <w:rPr>
          <w:rFonts w:hint="eastAsia" w:ascii="宋体" w:hAnsi="宋体" w:eastAsia="宋体" w:cs="宋体"/>
          <w:b/>
          <w:sz w:val="24"/>
        </w:rPr>
        <w:t>六、合同的签订及注意事项：</w:t>
      </w:r>
    </w:p>
    <w:p w14:paraId="3F5CB7D5">
      <w:pPr>
        <w:spacing w:line="500" w:lineRule="exact"/>
        <w:ind w:firstLine="597" w:firstLineChars="249"/>
        <w:rPr>
          <w:rFonts w:hint="eastAsia" w:ascii="宋体" w:hAnsi="宋体" w:eastAsia="宋体" w:cs="宋体"/>
          <w:bCs/>
          <w:sz w:val="24"/>
        </w:rPr>
      </w:pPr>
      <w:r>
        <w:rPr>
          <w:rFonts w:hint="eastAsia" w:ascii="宋体" w:hAnsi="宋体" w:eastAsia="宋体" w:cs="宋体"/>
          <w:bCs/>
          <w:sz w:val="24"/>
        </w:rPr>
        <w:t>1.成交结果将在启东市教育体育局信息网上予以公布，公示期为三个工作日，公示期内对成交结果没有异议的，将确定成交候选人为成交供应商。成交供应商须在公示期满后五个工作日内与采购单位签订合同。</w:t>
      </w:r>
    </w:p>
    <w:p w14:paraId="0ED5487A">
      <w:pPr>
        <w:spacing w:line="500" w:lineRule="exact"/>
        <w:ind w:firstLine="480" w:firstLineChars="200"/>
        <w:rPr>
          <w:rFonts w:hint="eastAsia" w:ascii="宋体" w:hAnsi="宋体" w:eastAsia="宋体" w:cs="宋体"/>
          <w:bCs/>
          <w:sz w:val="24"/>
        </w:rPr>
      </w:pPr>
      <w:r>
        <w:rPr>
          <w:rFonts w:hint="eastAsia" w:ascii="宋体" w:hAnsi="宋体" w:eastAsia="宋体" w:cs="宋体"/>
          <w:bCs/>
          <w:sz w:val="24"/>
        </w:rPr>
        <w:t>2.成交供应商因自身原因不能订立政府采购合同的，采购单位将取消其成交资格。</w:t>
      </w:r>
    </w:p>
    <w:p w14:paraId="7180306D">
      <w:pPr>
        <w:snapToGrid w:val="0"/>
        <w:spacing w:line="520" w:lineRule="exact"/>
        <w:rPr>
          <w:rFonts w:hint="eastAsia" w:ascii="宋体" w:hAnsi="宋体" w:eastAsia="宋体" w:cs="宋体"/>
          <w:b/>
          <w:sz w:val="24"/>
        </w:rPr>
      </w:pPr>
      <w:r>
        <w:rPr>
          <w:rFonts w:hint="eastAsia" w:ascii="宋体" w:hAnsi="宋体" w:eastAsia="宋体" w:cs="宋体"/>
          <w:b/>
          <w:sz w:val="24"/>
        </w:rPr>
        <w:t>七、成交原则：</w:t>
      </w:r>
    </w:p>
    <w:p w14:paraId="25F19C43">
      <w:pPr>
        <w:snapToGrid w:val="0"/>
        <w:spacing w:line="520" w:lineRule="exact"/>
        <w:ind w:firstLine="422" w:firstLineChars="175"/>
        <w:rPr>
          <w:rFonts w:hint="eastAsia" w:ascii="宋体" w:hAnsi="宋体" w:eastAsia="宋体" w:cs="宋体"/>
          <w:b/>
          <w:sz w:val="24"/>
          <w:u w:val="single"/>
        </w:rPr>
      </w:pPr>
      <w:r>
        <w:rPr>
          <w:rFonts w:hint="eastAsia" w:ascii="宋体" w:hAnsi="宋体" w:eastAsia="宋体" w:cs="宋体"/>
          <w:b/>
          <w:sz w:val="24"/>
          <w:u w:val="single"/>
        </w:rPr>
        <w:t>符合采购需求且总报价最低者成交。如遇同等质量、服务前提下最低报价相同则进行</w:t>
      </w:r>
      <w:r>
        <w:rPr>
          <w:rFonts w:hint="eastAsia" w:ascii="宋体" w:hAnsi="宋体" w:eastAsia="宋体" w:cs="宋体"/>
          <w:b/>
          <w:sz w:val="24"/>
          <w:u w:val="single"/>
          <w:lang w:val="en-US" w:eastAsia="zh-CN"/>
        </w:rPr>
        <w:t>抽签决定</w:t>
      </w:r>
      <w:r>
        <w:rPr>
          <w:rFonts w:hint="eastAsia" w:ascii="宋体" w:hAnsi="宋体" w:eastAsia="宋体" w:cs="宋体"/>
          <w:b/>
          <w:sz w:val="24"/>
          <w:u w:val="single"/>
        </w:rPr>
        <w:t>。</w:t>
      </w:r>
    </w:p>
    <w:p w14:paraId="76D8AB29">
      <w:pPr>
        <w:numPr>
          <w:ilvl w:val="0"/>
          <w:numId w:val="3"/>
        </w:numPr>
        <w:spacing w:line="480" w:lineRule="exact"/>
        <w:rPr>
          <w:rFonts w:hint="eastAsia" w:ascii="宋体" w:hAnsi="宋体" w:eastAsia="宋体" w:cs="宋体"/>
          <w:b/>
          <w:sz w:val="24"/>
        </w:rPr>
      </w:pPr>
      <w:r>
        <w:rPr>
          <w:rFonts w:hint="eastAsia" w:ascii="宋体" w:hAnsi="宋体" w:eastAsia="宋体" w:cs="宋体"/>
          <w:b/>
          <w:sz w:val="24"/>
        </w:rPr>
        <w:t>付款方式：</w:t>
      </w:r>
    </w:p>
    <w:p w14:paraId="0FA69F6E">
      <w:pPr>
        <w:pStyle w:val="2"/>
        <w:spacing w:line="480" w:lineRule="exact"/>
        <w:ind w:firstLine="482" w:firstLineChars="200"/>
        <w:rPr>
          <w:rFonts w:hint="eastAsia" w:ascii="宋体" w:hAnsi="宋体" w:cs="宋体"/>
          <w:b/>
          <w:bCs/>
          <w:sz w:val="24"/>
        </w:rPr>
      </w:pPr>
      <w:r>
        <w:rPr>
          <w:rFonts w:hint="eastAsia" w:ascii="宋体" w:hAnsi="宋体" w:cs="宋体"/>
          <w:b/>
          <w:bCs/>
          <w:sz w:val="24"/>
          <w:szCs w:val="24"/>
        </w:rPr>
        <w:t>本次采购围栏项目，质保期3年；</w:t>
      </w:r>
      <w:r>
        <w:rPr>
          <w:rFonts w:hint="eastAsia" w:ascii="宋体" w:hAnsi="宋体" w:cs="宋体"/>
          <w:b/>
          <w:bCs/>
          <w:sz w:val="24"/>
        </w:rPr>
        <w:t>所有货物完成供货及安装，并经采购单位验收和启东市市场监督管理局检测合格后，凭启东市市场监督管理局出具的告知书（如有）和采购单位验收合格单等相关证明材料，第一次付合同价的52.5%，验收合格后一年起付至合同价的95%，余款于服务期（三年）满后经学校认可后一次性付清。</w:t>
      </w:r>
    </w:p>
    <w:p w14:paraId="3429AE28">
      <w:pPr>
        <w:pStyle w:val="2"/>
        <w:spacing w:line="480" w:lineRule="exact"/>
        <w:ind w:firstLine="480" w:firstLineChars="200"/>
        <w:rPr>
          <w:rFonts w:hint="eastAsia" w:ascii="宋体" w:hAnsi="宋体" w:cs="宋体"/>
          <w:sz w:val="24"/>
        </w:rPr>
      </w:pPr>
      <w:r>
        <w:rPr>
          <w:rFonts w:hint="eastAsia" w:ascii="宋体" w:hAnsi="宋体" w:cs="宋体"/>
          <w:bCs/>
          <w:sz w:val="24"/>
        </w:rPr>
        <w:t xml:space="preserve">                                                  </w:t>
      </w:r>
      <w:r>
        <w:rPr>
          <w:rFonts w:hint="eastAsia" w:ascii="宋体" w:hAnsi="宋体" w:cs="宋体"/>
          <w:b/>
          <w:sz w:val="24"/>
        </w:rPr>
        <w:t xml:space="preserve"> 启东市英邦小学       </w:t>
      </w:r>
      <w:r>
        <w:rPr>
          <w:rFonts w:hint="eastAsia" w:ascii="宋体" w:hAnsi="宋体" w:cs="宋体"/>
          <w:sz w:val="24"/>
        </w:rPr>
        <w:t xml:space="preserve">                                                   </w:t>
      </w:r>
    </w:p>
    <w:p w14:paraId="4393C385">
      <w:pPr>
        <w:snapToGrid w:val="0"/>
        <w:jc w:val="center"/>
        <w:rPr>
          <w:rFonts w:ascii="仿宋_GB2312" w:eastAsia="仿宋_GB2312"/>
          <w:b/>
          <w:sz w:val="28"/>
        </w:rPr>
      </w:pPr>
      <w:r>
        <w:rPr>
          <w:rFonts w:hint="eastAsia" w:ascii="仿宋_GB2312" w:eastAsia="仿宋_GB2312"/>
          <w:b/>
          <w:sz w:val="28"/>
        </w:rPr>
        <w:t xml:space="preserve">                   </w:t>
      </w:r>
      <w:r>
        <w:rPr>
          <w:rFonts w:hint="eastAsia" w:ascii="仿宋_GB2312" w:eastAsia="仿宋_GB2312"/>
          <w:b/>
          <w:sz w:val="28"/>
          <w:lang w:val="en-US" w:eastAsia="zh-CN"/>
        </w:rPr>
        <w:t xml:space="preserve">                        2026年 5月</w:t>
      </w:r>
      <w:r>
        <w:rPr>
          <w:rFonts w:hint="default" w:ascii="仿宋_GB2312" w:eastAsia="仿宋_GB2312"/>
          <w:b/>
          <w:sz w:val="28"/>
          <w:lang w:val="en-US" w:eastAsia="zh-CN"/>
        </w:rPr>
        <w:t>20</w:t>
      </w:r>
      <w:r>
        <w:rPr>
          <w:rFonts w:hint="eastAsia" w:ascii="仿宋_GB2312" w:eastAsia="仿宋_GB2312"/>
          <w:b/>
          <w:sz w:val="28"/>
          <w:lang w:val="en-US" w:eastAsia="zh-CN"/>
        </w:rPr>
        <w:t>日</w:t>
      </w:r>
      <w:r>
        <w:rPr>
          <w:rFonts w:hint="eastAsia" w:ascii="仿宋_GB2312" w:eastAsia="仿宋_GB2312"/>
          <w:b/>
          <w:sz w:val="28"/>
        </w:rPr>
        <w:t xml:space="preserve">                    </w:t>
      </w:r>
    </w:p>
    <w:p w14:paraId="10F8D0BC">
      <w:pPr>
        <w:pStyle w:val="3"/>
      </w:pPr>
    </w:p>
    <w:p w14:paraId="210C37B9">
      <w:pPr>
        <w:pStyle w:val="3"/>
      </w:pPr>
    </w:p>
    <w:p w14:paraId="0A4D2BAB">
      <w:pPr>
        <w:widowControl/>
        <w:jc w:val="left"/>
        <w:rPr>
          <w:rFonts w:eastAsia="方正黑体_GBK"/>
          <w:kern w:val="0"/>
          <w:sz w:val="32"/>
          <w:szCs w:val="32"/>
          <w:lang w:val="zh-CN"/>
        </w:rPr>
      </w:pPr>
    </w:p>
    <w:p w14:paraId="1FEF650C">
      <w:pPr>
        <w:widowControl/>
        <w:jc w:val="left"/>
        <w:rPr>
          <w:rFonts w:eastAsia="方正黑体_GBK"/>
          <w:kern w:val="0"/>
          <w:sz w:val="32"/>
          <w:szCs w:val="32"/>
          <w:lang w:val="zh-CN"/>
        </w:rPr>
      </w:pPr>
    </w:p>
    <w:p w14:paraId="3BFD7519">
      <w:pPr>
        <w:widowControl/>
        <w:jc w:val="left"/>
        <w:rPr>
          <w:rFonts w:eastAsia="方正黑体_GBK"/>
          <w:kern w:val="0"/>
          <w:sz w:val="32"/>
          <w:szCs w:val="32"/>
          <w:lang w:val="zh-CN"/>
        </w:rPr>
      </w:pPr>
    </w:p>
    <w:p w14:paraId="054BA691">
      <w:pPr>
        <w:widowControl/>
        <w:jc w:val="left"/>
        <w:rPr>
          <w:rFonts w:eastAsia="方正黑体_GBK"/>
          <w:kern w:val="0"/>
          <w:sz w:val="32"/>
          <w:szCs w:val="32"/>
          <w:lang w:val="zh-CN"/>
        </w:rPr>
      </w:pPr>
    </w:p>
    <w:p w14:paraId="0DF74158">
      <w:pPr>
        <w:widowControl/>
        <w:jc w:val="left"/>
        <w:rPr>
          <w:rFonts w:eastAsia="方正黑体_GBK"/>
          <w:kern w:val="0"/>
          <w:sz w:val="32"/>
          <w:szCs w:val="32"/>
          <w:lang w:val="zh-CN"/>
        </w:rPr>
      </w:pPr>
    </w:p>
    <w:p w14:paraId="2A56C85E">
      <w:pPr>
        <w:widowControl/>
        <w:jc w:val="left"/>
        <w:rPr>
          <w:rFonts w:eastAsia="方正黑体_GBK"/>
          <w:kern w:val="0"/>
          <w:sz w:val="32"/>
          <w:szCs w:val="32"/>
          <w:lang w:val="zh-CN"/>
        </w:rPr>
      </w:pPr>
    </w:p>
    <w:p w14:paraId="61064472">
      <w:pPr>
        <w:widowControl/>
        <w:jc w:val="left"/>
        <w:rPr>
          <w:rFonts w:eastAsia="方正黑体_GBK"/>
          <w:kern w:val="0"/>
          <w:sz w:val="32"/>
          <w:szCs w:val="32"/>
          <w:lang w:val="zh-CN"/>
        </w:rPr>
      </w:pPr>
    </w:p>
    <w:p w14:paraId="215BB5D8">
      <w:pPr>
        <w:widowControl/>
        <w:jc w:val="left"/>
        <w:rPr>
          <w:rFonts w:eastAsia="方正黑体_GBK"/>
          <w:kern w:val="0"/>
          <w:sz w:val="32"/>
          <w:szCs w:val="32"/>
          <w:lang w:val="zh-CN"/>
        </w:rPr>
      </w:pPr>
    </w:p>
    <w:p w14:paraId="00FB9870">
      <w:pPr>
        <w:widowControl/>
        <w:jc w:val="left"/>
        <w:rPr>
          <w:rFonts w:eastAsia="方正黑体_GBK"/>
          <w:kern w:val="0"/>
          <w:sz w:val="32"/>
          <w:szCs w:val="32"/>
          <w:lang w:val="zh-CN"/>
        </w:rPr>
      </w:pPr>
    </w:p>
    <w:p w14:paraId="579200EF">
      <w:pPr>
        <w:widowControl/>
        <w:jc w:val="left"/>
        <w:rPr>
          <w:rFonts w:eastAsia="方正黑体_GBK"/>
          <w:kern w:val="0"/>
          <w:sz w:val="32"/>
          <w:szCs w:val="32"/>
          <w:lang w:val="zh-CN"/>
        </w:rPr>
      </w:pPr>
    </w:p>
    <w:p w14:paraId="0AACC2B0">
      <w:pPr>
        <w:widowControl/>
        <w:jc w:val="left"/>
        <w:rPr>
          <w:rFonts w:eastAsia="方正黑体_GBK"/>
          <w:kern w:val="0"/>
          <w:sz w:val="32"/>
          <w:szCs w:val="32"/>
          <w:lang w:val="zh-CN"/>
        </w:rPr>
      </w:pPr>
    </w:p>
    <w:p w14:paraId="2B02F89C">
      <w:pPr>
        <w:widowControl/>
        <w:jc w:val="left"/>
        <w:rPr>
          <w:rFonts w:eastAsia="方正黑体_GBK"/>
          <w:kern w:val="0"/>
          <w:sz w:val="32"/>
          <w:szCs w:val="32"/>
          <w:lang w:val="zh-CN"/>
        </w:rPr>
      </w:pPr>
    </w:p>
    <w:p w14:paraId="507CC7EC">
      <w:pPr>
        <w:widowControl/>
        <w:jc w:val="left"/>
        <w:rPr>
          <w:rFonts w:eastAsia="方正黑体_GBK"/>
          <w:kern w:val="0"/>
          <w:sz w:val="32"/>
          <w:szCs w:val="32"/>
          <w:lang w:val="zh-CN"/>
        </w:rPr>
      </w:pPr>
    </w:p>
    <w:p w14:paraId="3A42447E">
      <w:pPr>
        <w:widowControl/>
        <w:jc w:val="left"/>
        <w:rPr>
          <w:rFonts w:eastAsia="方正黑体_GBK"/>
          <w:kern w:val="0"/>
          <w:sz w:val="32"/>
          <w:szCs w:val="32"/>
          <w:lang w:val="zh-CN"/>
        </w:rPr>
      </w:pPr>
    </w:p>
    <w:p w14:paraId="15F0EB5A">
      <w:pPr>
        <w:widowControl/>
        <w:jc w:val="left"/>
        <w:rPr>
          <w:rFonts w:eastAsia="方正黑体_GBK"/>
          <w:kern w:val="0"/>
          <w:sz w:val="32"/>
          <w:szCs w:val="32"/>
          <w:lang w:val="zh-CN"/>
        </w:rPr>
      </w:pPr>
    </w:p>
    <w:p w14:paraId="49FCFA48">
      <w:pPr>
        <w:widowControl/>
        <w:jc w:val="left"/>
        <w:rPr>
          <w:rFonts w:eastAsia="方正黑体_GBK"/>
          <w:kern w:val="0"/>
          <w:sz w:val="32"/>
          <w:szCs w:val="32"/>
          <w:lang w:val="zh-CN"/>
        </w:rPr>
      </w:pPr>
    </w:p>
    <w:p w14:paraId="01CA6F5C">
      <w:pPr>
        <w:widowControl/>
        <w:jc w:val="left"/>
        <w:rPr>
          <w:rFonts w:eastAsia="方正黑体_GBK"/>
          <w:kern w:val="0"/>
          <w:sz w:val="32"/>
          <w:szCs w:val="32"/>
          <w:lang w:val="zh-CN"/>
        </w:rPr>
      </w:pPr>
    </w:p>
    <w:p w14:paraId="22664584">
      <w:pPr>
        <w:widowControl/>
        <w:jc w:val="left"/>
        <w:rPr>
          <w:rFonts w:eastAsia="方正黑体_GBK"/>
          <w:kern w:val="0"/>
          <w:sz w:val="32"/>
          <w:szCs w:val="32"/>
          <w:lang w:val="zh-CN"/>
        </w:rPr>
      </w:pPr>
    </w:p>
    <w:p w14:paraId="36196CFE">
      <w:pPr>
        <w:widowControl/>
        <w:jc w:val="left"/>
        <w:rPr>
          <w:rFonts w:eastAsia="方正黑体_GBK"/>
          <w:kern w:val="0"/>
          <w:sz w:val="32"/>
          <w:szCs w:val="32"/>
          <w:lang w:val="zh-CN"/>
        </w:rPr>
      </w:pPr>
    </w:p>
    <w:p w14:paraId="60CD6F77">
      <w:pPr>
        <w:widowControl/>
        <w:jc w:val="left"/>
        <w:rPr>
          <w:rFonts w:eastAsia="方正黑体_GBK"/>
          <w:kern w:val="0"/>
          <w:sz w:val="32"/>
          <w:szCs w:val="32"/>
          <w:lang w:val="zh-CN"/>
        </w:rPr>
      </w:pPr>
      <w:r>
        <w:rPr>
          <w:rFonts w:eastAsia="方正黑体_GBK"/>
          <w:kern w:val="0"/>
          <w:sz w:val="32"/>
          <w:szCs w:val="32"/>
          <w:lang w:val="zh-CN"/>
        </w:rPr>
        <w:t>附件</w:t>
      </w:r>
      <w:r>
        <w:rPr>
          <w:rFonts w:hint="eastAsia" w:eastAsia="方正黑体_GBK"/>
          <w:kern w:val="0"/>
          <w:sz w:val="32"/>
          <w:szCs w:val="32"/>
          <w:lang w:val="zh-CN"/>
        </w:rPr>
        <w:t>一</w:t>
      </w:r>
    </w:p>
    <w:p w14:paraId="070E9FF5">
      <w:pPr>
        <w:jc w:val="center"/>
        <w:rPr>
          <w:rFonts w:ascii="方正小标宋简体" w:hAnsi="方正小标宋简体" w:eastAsia="方正小标宋简体" w:cs="方正小标宋简体"/>
          <w:bCs/>
          <w:color w:val="000000"/>
          <w:sz w:val="30"/>
          <w:szCs w:val="30"/>
        </w:rPr>
      </w:pPr>
      <w:r>
        <w:rPr>
          <w:rFonts w:hint="eastAsia" w:ascii="方正小标宋简体" w:hAnsi="方正小标宋简体" w:eastAsia="方正小标宋简体" w:cs="方正小标宋简体"/>
          <w:bCs/>
          <w:color w:val="000000"/>
          <w:sz w:val="30"/>
          <w:szCs w:val="30"/>
        </w:rPr>
        <w:t>响应人符合《中华人民共和国政府采购法》第二十二条规定条件的声明函</w:t>
      </w:r>
    </w:p>
    <w:p w14:paraId="27D1B04D">
      <w:pPr>
        <w:spacing w:line="520" w:lineRule="exact"/>
        <w:ind w:firstLine="482" w:firstLineChars="200"/>
        <w:rPr>
          <w:rFonts w:ascii="宋体" w:hAnsi="宋体"/>
          <w:b/>
          <w:bCs/>
          <w:color w:val="000000"/>
          <w:sz w:val="24"/>
          <w:szCs w:val="21"/>
        </w:rPr>
      </w:pPr>
    </w:p>
    <w:p w14:paraId="043E25B2">
      <w:pPr>
        <w:spacing w:line="520" w:lineRule="exact"/>
        <w:rPr>
          <w:rFonts w:eastAsia="仿宋"/>
          <w:b/>
          <w:bCs/>
          <w:color w:val="000000"/>
          <w:sz w:val="28"/>
          <w:szCs w:val="28"/>
        </w:rPr>
      </w:pPr>
      <w:r>
        <w:rPr>
          <w:rFonts w:eastAsia="仿宋"/>
          <w:bCs/>
          <w:color w:val="000000"/>
          <w:sz w:val="28"/>
          <w:szCs w:val="28"/>
        </w:rPr>
        <w:t>我单位参加</w:t>
      </w:r>
      <w:r>
        <w:rPr>
          <w:rFonts w:eastAsia="仿宋"/>
          <w:sz w:val="28"/>
          <w:szCs w:val="28"/>
          <w:u w:val="single"/>
        </w:rPr>
        <w:t xml:space="preserve">               </w:t>
      </w:r>
      <w:r>
        <w:rPr>
          <w:rFonts w:hint="eastAsia" w:eastAsia="仿宋"/>
          <w:sz w:val="28"/>
          <w:szCs w:val="28"/>
          <w:u w:val="single"/>
        </w:rPr>
        <w:t xml:space="preserve">      </w:t>
      </w:r>
      <w:r>
        <w:rPr>
          <w:rFonts w:eastAsia="仿宋"/>
          <w:sz w:val="28"/>
          <w:szCs w:val="28"/>
          <w:u w:val="single"/>
        </w:rPr>
        <w:t xml:space="preserve"> </w:t>
      </w:r>
      <w:r>
        <w:rPr>
          <w:rFonts w:eastAsia="仿宋"/>
          <w:bCs/>
          <w:color w:val="000000"/>
          <w:sz w:val="28"/>
          <w:szCs w:val="28"/>
        </w:rPr>
        <w:t>（项目名称）</w:t>
      </w:r>
      <w:r>
        <w:rPr>
          <w:rFonts w:hint="eastAsia" w:ascii="仿宋" w:hAnsi="仿宋" w:eastAsia="仿宋" w:cs="仿宋"/>
          <w:sz w:val="28"/>
          <w:szCs w:val="28"/>
        </w:rPr>
        <w:t>响应</w:t>
      </w:r>
      <w:r>
        <w:rPr>
          <w:rFonts w:eastAsia="仿宋"/>
          <w:bCs/>
          <w:color w:val="000000"/>
          <w:sz w:val="28"/>
          <w:szCs w:val="28"/>
        </w:rPr>
        <w:t>活动。针对《中华人民共和国政府采购法》第二十二条规定做出如下声明：</w:t>
      </w:r>
    </w:p>
    <w:p w14:paraId="49C2690E">
      <w:pPr>
        <w:spacing w:line="520" w:lineRule="exact"/>
        <w:ind w:firstLine="482"/>
        <w:rPr>
          <w:rFonts w:ascii="Times New Roman" w:hAnsi="Times New Roman" w:eastAsia="仿宋"/>
          <w:color w:val="000000"/>
          <w:sz w:val="28"/>
          <w:szCs w:val="28"/>
        </w:rPr>
      </w:pPr>
      <w:r>
        <w:rPr>
          <w:rFonts w:ascii="Times New Roman" w:hAnsi="Times New Roman" w:eastAsia="仿宋"/>
          <w:bCs/>
          <w:color w:val="000000"/>
          <w:sz w:val="28"/>
          <w:szCs w:val="28"/>
        </w:rPr>
        <w:t>1.我单位具有独立承担民事责任的能力；</w:t>
      </w:r>
    </w:p>
    <w:p w14:paraId="5A3218EB">
      <w:pPr>
        <w:spacing w:line="520" w:lineRule="exact"/>
        <w:ind w:firstLine="482"/>
        <w:rPr>
          <w:rFonts w:ascii="Times New Roman" w:hAnsi="Times New Roman" w:eastAsia="仿宋"/>
          <w:color w:val="000000"/>
          <w:sz w:val="28"/>
          <w:szCs w:val="28"/>
        </w:rPr>
      </w:pPr>
      <w:r>
        <w:rPr>
          <w:rFonts w:ascii="Times New Roman" w:hAnsi="Times New Roman" w:eastAsia="仿宋"/>
          <w:color w:val="000000"/>
          <w:sz w:val="28"/>
          <w:szCs w:val="28"/>
        </w:rPr>
        <w:t>2.我单位具有良好的商业信誉和健全的财务会计制度；</w:t>
      </w:r>
    </w:p>
    <w:p w14:paraId="0D75DE6C">
      <w:pPr>
        <w:spacing w:line="520" w:lineRule="exact"/>
        <w:ind w:firstLine="482"/>
        <w:rPr>
          <w:rFonts w:ascii="Times New Roman" w:hAnsi="Times New Roman" w:eastAsia="仿宋"/>
          <w:color w:val="000000"/>
          <w:sz w:val="28"/>
          <w:szCs w:val="28"/>
        </w:rPr>
      </w:pPr>
      <w:r>
        <w:rPr>
          <w:rFonts w:ascii="Times New Roman" w:hAnsi="Times New Roman" w:eastAsia="仿宋"/>
          <w:color w:val="000000"/>
          <w:sz w:val="28"/>
          <w:szCs w:val="28"/>
        </w:rPr>
        <w:t>3.我单位具有履行合同所必需的设备和专业技术能力；</w:t>
      </w:r>
    </w:p>
    <w:p w14:paraId="278C6231">
      <w:pPr>
        <w:spacing w:line="520" w:lineRule="exact"/>
        <w:ind w:firstLine="482"/>
        <w:rPr>
          <w:rFonts w:ascii="Times New Roman" w:hAnsi="Times New Roman" w:eastAsia="仿宋"/>
          <w:color w:val="000000"/>
          <w:sz w:val="28"/>
          <w:szCs w:val="28"/>
        </w:rPr>
      </w:pPr>
      <w:r>
        <w:rPr>
          <w:rFonts w:ascii="Times New Roman" w:hAnsi="Times New Roman" w:eastAsia="仿宋"/>
          <w:color w:val="000000"/>
          <w:sz w:val="28"/>
          <w:szCs w:val="28"/>
        </w:rPr>
        <w:t>4.我单位有依法缴纳税收和社会保障资金的良好记录；</w:t>
      </w:r>
    </w:p>
    <w:p w14:paraId="09EF9B41">
      <w:pPr>
        <w:spacing w:line="520" w:lineRule="exact"/>
        <w:ind w:firstLine="482"/>
        <w:rPr>
          <w:rFonts w:ascii="Times New Roman" w:hAnsi="Times New Roman" w:eastAsia="仿宋"/>
          <w:color w:val="000000"/>
          <w:sz w:val="28"/>
          <w:szCs w:val="28"/>
        </w:rPr>
      </w:pPr>
      <w:r>
        <w:rPr>
          <w:rFonts w:ascii="Times New Roman" w:hAnsi="Times New Roman" w:eastAsia="仿宋"/>
          <w:color w:val="000000"/>
          <w:sz w:val="28"/>
          <w:szCs w:val="28"/>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506FF8C2">
      <w:pPr>
        <w:spacing w:line="520" w:lineRule="exact"/>
        <w:ind w:firstLine="482"/>
        <w:rPr>
          <w:rFonts w:ascii="Times New Roman" w:hAnsi="Times New Roman" w:eastAsia="仿宋"/>
          <w:color w:val="000000"/>
          <w:sz w:val="28"/>
          <w:szCs w:val="28"/>
        </w:rPr>
      </w:pPr>
      <w:r>
        <w:rPr>
          <w:rFonts w:ascii="Times New Roman" w:hAnsi="Times New Roman" w:eastAsia="仿宋"/>
          <w:color w:val="000000"/>
          <w:sz w:val="28"/>
          <w:szCs w:val="28"/>
        </w:rPr>
        <w:t>6.我单位满足法律、行政法规规定的其他条件。</w:t>
      </w:r>
    </w:p>
    <w:p w14:paraId="5E31C7E5">
      <w:pPr>
        <w:spacing w:line="500" w:lineRule="exact"/>
        <w:rPr>
          <w:rFonts w:eastAsia="仿宋"/>
          <w:bCs/>
          <w:color w:val="000000"/>
          <w:sz w:val="28"/>
          <w:szCs w:val="28"/>
        </w:rPr>
      </w:pPr>
    </w:p>
    <w:p w14:paraId="4BBA1771">
      <w:pPr>
        <w:spacing w:line="500" w:lineRule="exact"/>
        <w:rPr>
          <w:rFonts w:eastAsia="仿宋"/>
          <w:bCs/>
          <w:color w:val="000000"/>
          <w:sz w:val="28"/>
          <w:szCs w:val="28"/>
        </w:rPr>
      </w:pPr>
    </w:p>
    <w:p w14:paraId="79B29F04">
      <w:pPr>
        <w:spacing w:line="460" w:lineRule="exact"/>
        <w:jc w:val="center"/>
        <w:rPr>
          <w:rFonts w:eastAsia="仿宋"/>
          <w:bCs/>
          <w:color w:val="000000"/>
          <w:sz w:val="28"/>
          <w:szCs w:val="28"/>
        </w:rPr>
      </w:pPr>
      <w:r>
        <w:rPr>
          <w:rFonts w:eastAsia="仿宋"/>
          <w:bCs/>
          <w:color w:val="000000"/>
          <w:sz w:val="28"/>
          <w:szCs w:val="28"/>
        </w:rPr>
        <w:t xml:space="preserve"> 承诺人名称（</w:t>
      </w:r>
      <w:r>
        <w:rPr>
          <w:rFonts w:hint="eastAsia" w:eastAsia="仿宋"/>
          <w:bCs/>
          <w:color w:val="000000"/>
          <w:sz w:val="28"/>
          <w:szCs w:val="28"/>
        </w:rPr>
        <w:t>加盖</w:t>
      </w:r>
      <w:r>
        <w:rPr>
          <w:rFonts w:eastAsia="仿宋"/>
          <w:bCs/>
          <w:color w:val="000000"/>
          <w:sz w:val="28"/>
          <w:szCs w:val="28"/>
        </w:rPr>
        <w:t>公章）：</w:t>
      </w:r>
      <w:r>
        <w:rPr>
          <w:rFonts w:eastAsia="仿宋"/>
          <w:sz w:val="28"/>
          <w:szCs w:val="28"/>
          <w:u w:val="single"/>
        </w:rPr>
        <w:t xml:space="preserve">                   </w:t>
      </w:r>
    </w:p>
    <w:p w14:paraId="125B9780">
      <w:pPr>
        <w:spacing w:line="460" w:lineRule="exact"/>
        <w:jc w:val="right"/>
        <w:rPr>
          <w:rFonts w:eastAsia="仿宋"/>
          <w:bCs/>
          <w:color w:val="000000"/>
          <w:sz w:val="28"/>
          <w:szCs w:val="28"/>
        </w:rPr>
      </w:pPr>
      <w:r>
        <w:rPr>
          <w:rFonts w:eastAsia="仿宋"/>
          <w:bCs/>
          <w:color w:val="000000"/>
          <w:sz w:val="28"/>
          <w:szCs w:val="28"/>
        </w:rPr>
        <w:t xml:space="preserve">    </w:t>
      </w:r>
    </w:p>
    <w:p w14:paraId="3211A67D">
      <w:pPr>
        <w:spacing w:line="460" w:lineRule="exact"/>
        <w:jc w:val="center"/>
        <w:rPr>
          <w:rFonts w:hint="eastAsia" w:ascii="仿宋_GB2312" w:eastAsia="仿宋_GB2312"/>
          <w:b/>
          <w:sz w:val="28"/>
        </w:rPr>
      </w:pPr>
      <w:r>
        <w:rPr>
          <w:rFonts w:eastAsia="仿宋"/>
          <w:bCs/>
          <w:color w:val="000000"/>
          <w:sz w:val="28"/>
          <w:szCs w:val="28"/>
        </w:rPr>
        <w:t xml:space="preserve">                                日期：</w:t>
      </w:r>
      <w:r>
        <w:rPr>
          <w:rFonts w:eastAsia="仿宋"/>
          <w:bCs/>
          <w:color w:val="000000"/>
          <w:sz w:val="28"/>
          <w:szCs w:val="28"/>
          <w:u w:val="single"/>
        </w:rPr>
        <w:t xml:space="preserve">        </w:t>
      </w:r>
      <w:r>
        <w:rPr>
          <w:rFonts w:eastAsia="仿宋"/>
          <w:bCs/>
          <w:color w:val="000000"/>
          <w:sz w:val="28"/>
          <w:szCs w:val="28"/>
        </w:rPr>
        <w:t>年</w:t>
      </w:r>
      <w:r>
        <w:rPr>
          <w:rFonts w:eastAsia="仿宋"/>
          <w:bCs/>
          <w:color w:val="000000"/>
          <w:sz w:val="28"/>
          <w:szCs w:val="28"/>
          <w:u w:val="single"/>
        </w:rPr>
        <w:t xml:space="preserve">    </w:t>
      </w:r>
      <w:r>
        <w:rPr>
          <w:rFonts w:eastAsia="仿宋"/>
          <w:bCs/>
          <w:color w:val="000000"/>
          <w:sz w:val="28"/>
          <w:szCs w:val="28"/>
        </w:rPr>
        <w:t>月</w:t>
      </w:r>
      <w:r>
        <w:rPr>
          <w:rFonts w:eastAsia="仿宋"/>
          <w:bCs/>
          <w:color w:val="000000"/>
          <w:sz w:val="28"/>
          <w:szCs w:val="28"/>
          <w:u w:val="single"/>
        </w:rPr>
        <w:t xml:space="preserve">    </w:t>
      </w:r>
      <w:r>
        <w:rPr>
          <w:rFonts w:eastAsia="仿宋"/>
          <w:bCs/>
          <w:color w:val="000000"/>
          <w:sz w:val="28"/>
          <w:szCs w:val="28"/>
        </w:rPr>
        <w:t>日</w:t>
      </w:r>
    </w:p>
    <w:p w14:paraId="255A7CE5">
      <w:pPr>
        <w:snapToGrid w:val="0"/>
        <w:rPr>
          <w:rFonts w:hint="eastAsia" w:ascii="仿宋_GB2312" w:eastAsia="仿宋_GB2312"/>
          <w:b/>
          <w:sz w:val="28"/>
        </w:rPr>
      </w:pPr>
    </w:p>
    <w:p w14:paraId="16A17674">
      <w:pPr>
        <w:snapToGrid w:val="0"/>
        <w:rPr>
          <w:rFonts w:hint="eastAsia" w:ascii="仿宋_GB2312" w:eastAsia="仿宋_GB2312"/>
          <w:b/>
          <w:sz w:val="28"/>
        </w:rPr>
      </w:pPr>
    </w:p>
    <w:p w14:paraId="6DFF0EE9">
      <w:pPr>
        <w:snapToGrid w:val="0"/>
        <w:rPr>
          <w:rFonts w:hint="eastAsia" w:ascii="仿宋_GB2312" w:eastAsia="仿宋_GB2312"/>
          <w:b/>
          <w:sz w:val="28"/>
        </w:rPr>
      </w:pPr>
    </w:p>
    <w:p w14:paraId="10D79BC7">
      <w:pPr>
        <w:snapToGrid w:val="0"/>
        <w:rPr>
          <w:rFonts w:hint="eastAsia" w:ascii="仿宋_GB2312" w:eastAsia="仿宋_GB2312"/>
          <w:b/>
          <w:sz w:val="28"/>
        </w:rPr>
      </w:pPr>
    </w:p>
    <w:p w14:paraId="57754E89">
      <w:pPr>
        <w:snapToGrid w:val="0"/>
        <w:rPr>
          <w:rFonts w:hint="eastAsia" w:ascii="仿宋_GB2312" w:eastAsia="仿宋_GB2312"/>
          <w:b/>
          <w:sz w:val="28"/>
        </w:rPr>
      </w:pPr>
    </w:p>
    <w:p w14:paraId="2F97473E">
      <w:pPr>
        <w:snapToGrid w:val="0"/>
        <w:rPr>
          <w:rFonts w:ascii="仿宋_GB2312" w:hAnsi="宋体" w:eastAsia="仿宋_GB2312"/>
          <w:b/>
          <w:sz w:val="28"/>
          <w:szCs w:val="28"/>
        </w:rPr>
      </w:pPr>
      <w:bookmarkStart w:id="0" w:name="_GoBack"/>
      <w:bookmarkEnd w:id="0"/>
      <w:r>
        <w:rPr>
          <w:rFonts w:hint="eastAsia" w:ascii="仿宋_GB2312" w:eastAsia="仿宋_GB2312"/>
          <w:b/>
          <w:sz w:val="28"/>
        </w:rPr>
        <w:t>附件</w:t>
      </w:r>
      <w:r>
        <w:rPr>
          <w:rFonts w:hint="eastAsia" w:ascii="仿宋_GB2312" w:eastAsia="仿宋_GB2312"/>
          <w:b/>
          <w:sz w:val="28"/>
          <w:lang w:eastAsia="zh-CN"/>
        </w:rPr>
        <w:t>二</w:t>
      </w:r>
      <w:r>
        <w:rPr>
          <w:rFonts w:hint="eastAsia" w:ascii="仿宋_GB2312" w:eastAsia="仿宋_GB2312"/>
          <w:b/>
          <w:sz w:val="28"/>
        </w:rPr>
        <w:t>：</w:t>
      </w:r>
      <w:r>
        <w:rPr>
          <w:rFonts w:hint="eastAsia" w:ascii="仿宋_GB2312" w:hAnsi="宋体" w:eastAsia="仿宋_GB2312"/>
          <w:b/>
          <w:sz w:val="28"/>
          <w:szCs w:val="28"/>
        </w:rPr>
        <w:t>报价承诺书</w:t>
      </w:r>
    </w:p>
    <w:p w14:paraId="699D868F">
      <w:pPr>
        <w:spacing w:line="500" w:lineRule="exact"/>
        <w:jc w:val="center"/>
        <w:rPr>
          <w:rFonts w:ascii="仿宋_GB2312" w:hAnsi="宋体" w:eastAsia="仿宋_GB2312"/>
          <w:b/>
          <w:sz w:val="32"/>
          <w:szCs w:val="32"/>
        </w:rPr>
      </w:pPr>
      <w:r>
        <w:rPr>
          <w:rFonts w:hint="eastAsia" w:ascii="仿宋_GB2312" w:hAnsi="宋体" w:eastAsia="仿宋_GB2312"/>
          <w:b/>
          <w:sz w:val="32"/>
          <w:szCs w:val="32"/>
        </w:rPr>
        <w:t>报 价 承 诺 书</w:t>
      </w:r>
    </w:p>
    <w:p w14:paraId="1C4150D0">
      <w:pPr>
        <w:spacing w:line="500" w:lineRule="exact"/>
        <w:rPr>
          <w:rFonts w:ascii="仿宋_GB2312" w:hAnsi="宋体" w:eastAsia="仿宋_GB2312"/>
          <w:sz w:val="28"/>
          <w:szCs w:val="28"/>
        </w:rPr>
      </w:pPr>
      <w:r>
        <w:rPr>
          <w:rFonts w:hint="eastAsia" w:ascii="仿宋_GB2312" w:hAnsi="宋体" w:eastAsia="仿宋_GB2312"/>
          <w:sz w:val="28"/>
          <w:szCs w:val="28"/>
        </w:rPr>
        <w:t>启东市英邦小学：</w:t>
      </w:r>
    </w:p>
    <w:p w14:paraId="75301B46">
      <w:pPr>
        <w:spacing w:line="500" w:lineRule="exact"/>
        <w:rPr>
          <w:rFonts w:ascii="仿宋_GB2312" w:hAnsi="宋体" w:eastAsia="仿宋_GB2312"/>
          <w:sz w:val="28"/>
          <w:szCs w:val="28"/>
        </w:rPr>
      </w:pPr>
      <w:r>
        <w:rPr>
          <w:rFonts w:hint="eastAsia" w:ascii="仿宋_GB2312" w:hAnsi="宋体" w:eastAsia="仿宋_GB2312"/>
          <w:sz w:val="28"/>
          <w:szCs w:val="28"/>
        </w:rPr>
        <w:t>（报价单位全称）授权（姓  名）（职  务）为全权代表，参加</w:t>
      </w:r>
      <w:r>
        <w:rPr>
          <w:rFonts w:hint="eastAsia" w:ascii="仿宋_GB2312" w:hAnsi="宋体" w:eastAsia="仿宋_GB2312"/>
          <w:b/>
          <w:bCs/>
          <w:sz w:val="28"/>
          <w:szCs w:val="28"/>
          <w:u w:val="single"/>
        </w:rPr>
        <w:t xml:space="preserve"> 英邦小学操场围网采购</w:t>
      </w:r>
      <w:r>
        <w:rPr>
          <w:rFonts w:hint="eastAsia" w:ascii="仿宋_GB2312" w:eastAsia="仿宋_GB2312"/>
          <w:b/>
          <w:sz w:val="28"/>
          <w:szCs w:val="28"/>
          <w:u w:val="single"/>
        </w:rPr>
        <w:t>项目</w:t>
      </w:r>
      <w:r>
        <w:rPr>
          <w:rFonts w:hint="eastAsia" w:ascii="仿宋_GB2312" w:hAnsi="宋体" w:eastAsia="仿宋_GB2312"/>
          <w:sz w:val="28"/>
          <w:szCs w:val="28"/>
        </w:rPr>
        <w:t>询价的有关活动，并宣布同意如下：</w:t>
      </w:r>
    </w:p>
    <w:p w14:paraId="1769745E">
      <w:pPr>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1．我方愿意按照报价文件的全部要求进行报价（报价内容及价格以报价文件为准）。</w:t>
      </w:r>
    </w:p>
    <w:p w14:paraId="3660EB5A">
      <w:pPr>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2．我方完全理解并同意放弃对询价公告有不明及误解的权利。</w:t>
      </w:r>
    </w:p>
    <w:p w14:paraId="75EECB53">
      <w:pPr>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3．我方将按询价公告的规定履行合同责任和义务。</w:t>
      </w:r>
    </w:p>
    <w:p w14:paraId="1D2F614E">
      <w:pPr>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4．如果我方在报价有效期内撤回报价文件，报价保证金将不被贵方退还。</w:t>
      </w:r>
    </w:p>
    <w:p w14:paraId="40E42177">
      <w:pPr>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5．我方同意提供按照贵方可能要求的与其报价有关的一切数据或资料，理解并同意贵方的评标办法。</w:t>
      </w:r>
    </w:p>
    <w:p w14:paraId="3BB97EDB">
      <w:pPr>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6．我方的报价文件自开标后30天内有效。</w:t>
      </w:r>
    </w:p>
    <w:p w14:paraId="17E13F70">
      <w:pPr>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7．与本报价有关的一切往来通讯请寄：</w:t>
      </w:r>
    </w:p>
    <w:p w14:paraId="1AB92DA8">
      <w:pPr>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地址：　　　　　　　　　　　　　邮编：</w:t>
      </w:r>
    </w:p>
    <w:p w14:paraId="3AF93813">
      <w:pPr>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电话：　　　　　　　　　　　　　传真：</w:t>
      </w:r>
    </w:p>
    <w:p w14:paraId="657A1560">
      <w:pPr>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报价单位代表姓名：　　　　　　　　职务：</w:t>
      </w:r>
    </w:p>
    <w:p w14:paraId="4C353BF7">
      <w:pPr>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报价单位名称：（加盖单位公章）</w:t>
      </w:r>
    </w:p>
    <w:p w14:paraId="5F02362A">
      <w:pPr>
        <w:spacing w:line="500" w:lineRule="exact"/>
        <w:ind w:firstLine="560" w:firstLineChars="200"/>
        <w:rPr>
          <w:rFonts w:ascii="仿宋_GB2312" w:hAnsi="宋体" w:eastAsia="仿宋_GB2312"/>
          <w:sz w:val="28"/>
          <w:szCs w:val="28"/>
        </w:rPr>
      </w:pPr>
    </w:p>
    <w:p w14:paraId="4F816A74">
      <w:pPr>
        <w:spacing w:line="500" w:lineRule="exact"/>
        <w:ind w:firstLine="5320" w:firstLineChars="1900"/>
        <w:rPr>
          <w:rFonts w:ascii="仿宋_GB2312" w:hAnsi="宋体" w:eastAsia="仿宋_GB2312"/>
          <w:sz w:val="28"/>
          <w:szCs w:val="28"/>
        </w:rPr>
      </w:pPr>
      <w:r>
        <w:rPr>
          <w:rFonts w:hint="eastAsia" w:ascii="仿宋_GB2312" w:hAnsi="宋体" w:eastAsia="仿宋_GB2312"/>
          <w:sz w:val="28"/>
          <w:szCs w:val="28"/>
        </w:rPr>
        <w:t xml:space="preserve">    年     月      日　　</w:t>
      </w:r>
    </w:p>
    <w:p w14:paraId="17128A2F">
      <w:pPr>
        <w:ind w:firstLine="560" w:firstLineChars="200"/>
        <w:rPr>
          <w:rFonts w:ascii="仿宋_GB2312" w:hAnsi="宋体" w:eastAsia="仿宋_GB2312"/>
          <w:sz w:val="28"/>
          <w:szCs w:val="28"/>
        </w:rPr>
      </w:pPr>
      <w:r>
        <w:rPr>
          <w:rFonts w:hint="eastAsia" w:ascii="仿宋_GB2312" w:hAnsi="宋体" w:eastAsia="仿宋_GB2312"/>
          <w:sz w:val="28"/>
          <w:szCs w:val="28"/>
        </w:rPr>
        <w:br w:type="page"/>
      </w:r>
    </w:p>
    <w:p w14:paraId="346BF48C">
      <w:pPr>
        <w:spacing w:line="440" w:lineRule="exact"/>
        <w:rPr>
          <w:rFonts w:ascii="仿宋_GB2312" w:hAnsi="宋体" w:eastAsia="仿宋_GB2312"/>
          <w:b/>
          <w:sz w:val="28"/>
          <w:szCs w:val="28"/>
        </w:rPr>
      </w:pPr>
      <w:r>
        <w:rPr>
          <w:rFonts w:hint="eastAsia" w:ascii="仿宋_GB2312" w:eastAsia="仿宋_GB2312"/>
          <w:b/>
          <w:sz w:val="28"/>
        </w:rPr>
        <w:t>附件</w:t>
      </w:r>
      <w:r>
        <w:rPr>
          <w:rFonts w:hint="eastAsia" w:ascii="仿宋_GB2312" w:eastAsia="仿宋_GB2312"/>
          <w:b/>
          <w:sz w:val="28"/>
          <w:lang w:eastAsia="zh-CN"/>
        </w:rPr>
        <w:t>三</w:t>
      </w:r>
      <w:r>
        <w:rPr>
          <w:rFonts w:hint="eastAsia" w:ascii="仿宋_GB2312" w:eastAsia="仿宋_GB2312"/>
          <w:b/>
          <w:sz w:val="28"/>
        </w:rPr>
        <w:t>：质保承诺书</w:t>
      </w:r>
    </w:p>
    <w:p w14:paraId="34CD0C24">
      <w:pPr>
        <w:spacing w:line="500" w:lineRule="exact"/>
        <w:rPr>
          <w:rFonts w:ascii="仿宋_GB2312" w:hAnsi="宋体" w:eastAsia="仿宋_GB2312"/>
          <w:sz w:val="28"/>
          <w:szCs w:val="28"/>
        </w:rPr>
      </w:pPr>
      <w:r>
        <w:rPr>
          <w:rFonts w:hint="eastAsia" w:ascii="仿宋_GB2312" w:hAnsi="宋体" w:eastAsia="仿宋_GB2312"/>
          <w:b/>
          <w:sz w:val="32"/>
          <w:szCs w:val="32"/>
        </w:rPr>
        <w:t xml:space="preserve">                     质 保 承 诺 书</w:t>
      </w:r>
    </w:p>
    <w:p w14:paraId="07CBF345">
      <w:pPr>
        <w:spacing w:line="500" w:lineRule="exact"/>
        <w:rPr>
          <w:rFonts w:ascii="仿宋_GB2312" w:hAnsi="宋体" w:eastAsia="仿宋_GB2312"/>
          <w:sz w:val="28"/>
          <w:szCs w:val="28"/>
        </w:rPr>
      </w:pPr>
      <w:r>
        <w:rPr>
          <w:rFonts w:hint="eastAsia" w:ascii="仿宋_GB2312" w:hAnsi="宋体" w:eastAsia="仿宋_GB2312"/>
          <w:sz w:val="28"/>
          <w:szCs w:val="28"/>
        </w:rPr>
        <w:t>启东市英邦小学：</w:t>
      </w:r>
    </w:p>
    <w:p w14:paraId="0E01E8D1">
      <w:pPr>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（报价供应商全称）授权（姓  名）（职  务）为全权代表，参加</w:t>
      </w:r>
      <w:r>
        <w:rPr>
          <w:rFonts w:hint="eastAsia" w:ascii="仿宋_GB2312" w:hAnsi="宋体" w:eastAsia="仿宋_GB2312"/>
          <w:b/>
          <w:bCs/>
          <w:sz w:val="28"/>
          <w:szCs w:val="28"/>
          <w:u w:val="single"/>
        </w:rPr>
        <w:t>英邦小学操场围网采购</w:t>
      </w:r>
      <w:r>
        <w:rPr>
          <w:rFonts w:hint="eastAsia" w:ascii="仿宋_GB2312" w:eastAsia="仿宋_GB2312"/>
          <w:b/>
          <w:sz w:val="28"/>
          <w:szCs w:val="28"/>
          <w:u w:val="single"/>
        </w:rPr>
        <w:t>项目</w:t>
      </w:r>
      <w:r>
        <w:rPr>
          <w:rFonts w:hint="eastAsia" w:ascii="仿宋_GB2312" w:hAnsi="宋体" w:eastAsia="仿宋_GB2312"/>
          <w:sz w:val="28"/>
          <w:szCs w:val="28"/>
        </w:rPr>
        <w:t>询价的有关活动，并宣布同意如下：</w:t>
      </w:r>
    </w:p>
    <w:p w14:paraId="70FF9868">
      <w:pPr>
        <w:snapToGrid w:val="0"/>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1. 我方承诺对本项目整体提供</w:t>
      </w:r>
      <w:r>
        <w:rPr>
          <w:rFonts w:hint="eastAsia" w:ascii="仿宋_GB2312" w:hAnsi="宋体" w:eastAsia="仿宋_GB2312"/>
          <w:b/>
          <w:bCs/>
          <w:sz w:val="28"/>
          <w:szCs w:val="28"/>
          <w:u w:val="single"/>
        </w:rPr>
        <w:t>三年</w:t>
      </w:r>
      <w:r>
        <w:rPr>
          <w:rFonts w:hint="eastAsia" w:ascii="仿宋_GB2312" w:hAnsi="宋体" w:eastAsia="仿宋_GB2312"/>
          <w:sz w:val="28"/>
          <w:szCs w:val="28"/>
        </w:rPr>
        <w:t xml:space="preserve">的全免费质保及上门质保(含部件及人工)及售后服务。 </w:t>
      </w:r>
    </w:p>
    <w:p w14:paraId="38B8DEEE">
      <w:pPr>
        <w:snapToGrid w:val="0"/>
        <w:spacing w:line="500" w:lineRule="exact"/>
        <w:ind w:firstLine="560" w:firstLineChars="200"/>
        <w:rPr>
          <w:rFonts w:ascii="仿宋_GB2312" w:hAnsi="宋体" w:eastAsia="仿宋_GB2312"/>
          <w:sz w:val="28"/>
          <w:szCs w:val="28"/>
        </w:rPr>
      </w:pPr>
      <w:r>
        <w:rPr>
          <w:rFonts w:hint="eastAsia" w:ascii="仿宋_GB2312" w:eastAsia="仿宋_GB2312"/>
          <w:sz w:val="28"/>
          <w:szCs w:val="28"/>
        </w:rPr>
        <w:t>2.</w:t>
      </w:r>
      <w:r>
        <w:rPr>
          <w:rFonts w:hint="eastAsia" w:ascii="仿宋_GB2312" w:hAnsi="宋体" w:eastAsia="仿宋_GB2312"/>
          <w:sz w:val="28"/>
          <w:szCs w:val="28"/>
        </w:rPr>
        <w:t xml:space="preserve"> 在免费质保期内，同一商品、同一质量问题连续两次维修仍无法正常使用，我方将无条件给予全套更新或退货。</w:t>
      </w:r>
    </w:p>
    <w:p w14:paraId="55395B0B">
      <w:pPr>
        <w:spacing w:line="500" w:lineRule="exact"/>
        <w:ind w:firstLine="560" w:firstLineChars="200"/>
        <w:rPr>
          <w:rFonts w:ascii="仿宋_GB2312" w:hAnsi="宋体" w:eastAsia="仿宋_GB2312"/>
          <w:b/>
          <w:sz w:val="28"/>
          <w:szCs w:val="28"/>
          <w:highlight w:val="none"/>
        </w:rPr>
      </w:pPr>
      <w:r>
        <w:rPr>
          <w:rFonts w:hint="eastAsia" w:ascii="仿宋_GB2312" w:hAnsi="宋体" w:eastAsia="仿宋_GB2312"/>
          <w:sz w:val="28"/>
          <w:szCs w:val="28"/>
        </w:rPr>
        <w:t>3．</w:t>
      </w:r>
      <w:r>
        <w:rPr>
          <w:rFonts w:hint="eastAsia" w:ascii="仿宋_GB2312" w:hAnsi="宋体" w:eastAsia="仿宋_GB2312"/>
          <w:sz w:val="28"/>
          <w:szCs w:val="28"/>
          <w:highlight w:val="none"/>
        </w:rPr>
        <w:t>在免费质保期内，供应商在接到用户单位电话通知后，必须在12小时之内上门服务，并在12小时内负责修复。如需更换货物或送修，必须在24小时内提供备用货物，并在7个工作日内负责对送修货物维修完毕并送至用户单位处</w:t>
      </w:r>
      <w:r>
        <w:rPr>
          <w:rFonts w:hint="eastAsia" w:ascii="宋体" w:hAnsi="宋体" w:eastAsia="宋体" w:cs="宋体"/>
          <w:bCs/>
          <w:sz w:val="24"/>
          <w:highlight w:val="none"/>
        </w:rPr>
        <w:t>。</w:t>
      </w:r>
    </w:p>
    <w:p w14:paraId="1EE8C7D5">
      <w:pPr>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4．与本项目有关的一切往来通讯请寄：</w:t>
      </w:r>
    </w:p>
    <w:p w14:paraId="7CF2C65D">
      <w:pPr>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地址：　　　　　　　　　　　　　邮编：</w:t>
      </w:r>
    </w:p>
    <w:p w14:paraId="573B3F03">
      <w:pPr>
        <w:spacing w:line="500" w:lineRule="exact"/>
        <w:rPr>
          <w:rFonts w:ascii="仿宋_GB2312" w:hAnsi="宋体" w:eastAsia="仿宋_GB2312"/>
          <w:sz w:val="28"/>
          <w:szCs w:val="28"/>
        </w:rPr>
      </w:pPr>
      <w:r>
        <w:rPr>
          <w:rFonts w:hint="eastAsia" w:ascii="仿宋_GB2312" w:hAnsi="宋体" w:eastAsia="仿宋_GB2312"/>
          <w:sz w:val="28"/>
          <w:szCs w:val="28"/>
        </w:rPr>
        <w:t xml:space="preserve">    电话：　　　　　　　　　　　　　传真：</w:t>
      </w:r>
    </w:p>
    <w:p w14:paraId="6849489D">
      <w:pPr>
        <w:spacing w:line="500" w:lineRule="exact"/>
        <w:rPr>
          <w:rFonts w:ascii="仿宋_GB2312" w:hAnsi="宋体" w:eastAsia="仿宋_GB2312"/>
          <w:sz w:val="28"/>
          <w:szCs w:val="28"/>
        </w:rPr>
      </w:pPr>
      <w:r>
        <w:rPr>
          <w:rFonts w:hint="eastAsia" w:ascii="仿宋_GB2312" w:hAnsi="宋体" w:eastAsia="仿宋_GB2312"/>
          <w:sz w:val="28"/>
          <w:szCs w:val="28"/>
        </w:rPr>
        <w:t xml:space="preserve">    报价单位代表：　　　　　　　　  职务：</w:t>
      </w:r>
    </w:p>
    <w:p w14:paraId="0D4868D8">
      <w:pPr>
        <w:spacing w:line="500" w:lineRule="exact"/>
        <w:ind w:firstLine="560" w:firstLineChars="200"/>
        <w:rPr>
          <w:rFonts w:ascii="仿宋_GB2312" w:hAnsi="宋体" w:eastAsia="仿宋_GB2312"/>
          <w:sz w:val="28"/>
          <w:szCs w:val="28"/>
        </w:rPr>
      </w:pPr>
    </w:p>
    <w:p w14:paraId="3E5E3366">
      <w:pPr>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报价单位名称（加盖单位公章）：</w:t>
      </w:r>
    </w:p>
    <w:p w14:paraId="73D63CAA">
      <w:pPr>
        <w:spacing w:line="500" w:lineRule="exact"/>
        <w:rPr>
          <w:rFonts w:ascii="仿宋_GB2312" w:hAnsi="宋体" w:eastAsia="仿宋_GB2312"/>
          <w:sz w:val="28"/>
          <w:szCs w:val="28"/>
        </w:rPr>
      </w:pPr>
      <w:r>
        <w:rPr>
          <w:rFonts w:hint="eastAsia" w:ascii="仿宋_GB2312" w:hAnsi="宋体" w:eastAsia="仿宋_GB2312"/>
          <w:sz w:val="28"/>
          <w:szCs w:val="28"/>
        </w:rPr>
        <w:t xml:space="preserve">   </w:t>
      </w:r>
    </w:p>
    <w:p w14:paraId="50143127">
      <w:pPr>
        <w:spacing w:line="500" w:lineRule="exact"/>
        <w:rPr>
          <w:rFonts w:ascii="仿宋_GB2312" w:hAnsi="宋体" w:eastAsia="仿宋_GB2312"/>
          <w:sz w:val="28"/>
          <w:szCs w:val="28"/>
        </w:rPr>
      </w:pPr>
    </w:p>
    <w:p w14:paraId="1BF60BDC">
      <w:pPr>
        <w:spacing w:line="500" w:lineRule="exact"/>
        <w:rPr>
          <w:rFonts w:ascii="仿宋_GB2312" w:hAnsi="宋体" w:eastAsia="仿宋_GB2312"/>
          <w:sz w:val="28"/>
          <w:szCs w:val="28"/>
        </w:rPr>
      </w:pPr>
      <w:r>
        <w:rPr>
          <w:rFonts w:hint="eastAsia" w:ascii="仿宋_GB2312" w:hAnsi="宋体" w:eastAsia="仿宋_GB2312"/>
          <w:sz w:val="28"/>
          <w:szCs w:val="28"/>
        </w:rPr>
        <w:t xml:space="preserve">                                             年    月    日　</w:t>
      </w:r>
    </w:p>
    <w:p w14:paraId="10B78C7F">
      <w:pPr>
        <w:spacing w:line="440" w:lineRule="exact"/>
        <w:rPr>
          <w:rFonts w:hint="eastAsia" w:ascii="宋体" w:hAnsi="宋体" w:eastAsia="宋体" w:cs="宋体"/>
          <w:sz w:val="24"/>
        </w:rPr>
      </w:pPr>
      <w:r>
        <w:rPr>
          <w:rFonts w:hint="eastAsia" w:ascii="宋体" w:hAnsi="宋体" w:eastAsia="宋体" w:cs="宋体"/>
          <w:sz w:val="24"/>
        </w:rPr>
        <w:t xml:space="preserve"> </w:t>
      </w:r>
    </w:p>
    <w:p w14:paraId="4C68BDBE">
      <w:pPr>
        <w:snapToGrid w:val="0"/>
        <w:rPr>
          <w:rFonts w:hint="eastAsia" w:ascii="宋体" w:hAnsi="宋体" w:eastAsia="宋体" w:cs="宋体"/>
          <w:sz w:val="28"/>
          <w:szCs w:val="28"/>
          <w:u w:val="single"/>
        </w:rPr>
      </w:pPr>
    </w:p>
    <w:p w14:paraId="5B6AC761">
      <w:pPr>
        <w:snapToGrid w:val="0"/>
        <w:rPr>
          <w:rFonts w:hint="eastAsia" w:ascii="宋体" w:hAnsi="宋体" w:eastAsia="宋体" w:cs="宋体"/>
          <w:sz w:val="28"/>
          <w:szCs w:val="28"/>
          <w:u w:val="single"/>
        </w:rPr>
      </w:pPr>
    </w:p>
    <w:p w14:paraId="42093549">
      <w:pPr>
        <w:pStyle w:val="2"/>
        <w:rPr>
          <w:rFonts w:hint="eastAsia" w:ascii="宋体" w:hAnsi="宋体" w:cs="宋体"/>
          <w:sz w:val="28"/>
          <w:szCs w:val="28"/>
          <w:u w:val="single"/>
        </w:rPr>
      </w:pPr>
    </w:p>
    <w:p w14:paraId="483BBA57">
      <w:pPr>
        <w:pStyle w:val="3"/>
        <w:rPr>
          <w:rFonts w:hint="eastAsia" w:ascii="宋体" w:hAnsi="宋体" w:cs="宋体"/>
          <w:sz w:val="28"/>
          <w:szCs w:val="28"/>
          <w:u w:val="single"/>
        </w:rPr>
      </w:pPr>
    </w:p>
    <w:p w14:paraId="5DA0630B">
      <w:pPr>
        <w:snapToGrid w:val="0"/>
        <w:spacing w:line="400" w:lineRule="exact"/>
        <w:contextualSpacing/>
        <w:rPr>
          <w:rFonts w:eastAsia="方正黑体_GBK"/>
          <w:kern w:val="0"/>
          <w:sz w:val="32"/>
          <w:szCs w:val="32"/>
        </w:rPr>
      </w:pPr>
    </w:p>
    <w:p w14:paraId="3C634D37">
      <w:pPr>
        <w:snapToGrid w:val="0"/>
        <w:spacing w:line="400" w:lineRule="exact"/>
        <w:contextualSpacing/>
        <w:rPr>
          <w:rFonts w:hint="eastAsia" w:eastAsia="方正黑体_GBK"/>
          <w:kern w:val="0"/>
          <w:sz w:val="32"/>
          <w:szCs w:val="32"/>
          <w:lang w:val="en-US" w:eastAsia="zh-CN"/>
        </w:rPr>
      </w:pPr>
      <w:r>
        <w:rPr>
          <w:rFonts w:eastAsia="方正黑体_GBK"/>
          <w:kern w:val="0"/>
          <w:sz w:val="32"/>
          <w:szCs w:val="32"/>
        </w:rPr>
        <w:t>附件</w:t>
      </w:r>
      <w:r>
        <w:rPr>
          <w:rFonts w:hint="eastAsia" w:eastAsia="方正黑体_GBK"/>
          <w:kern w:val="0"/>
          <w:sz w:val="32"/>
          <w:szCs w:val="32"/>
          <w:lang w:val="en-US" w:eastAsia="zh-CN"/>
        </w:rPr>
        <w:t>四</w:t>
      </w:r>
    </w:p>
    <w:p w14:paraId="48960BA6">
      <w:pPr>
        <w:jc w:val="center"/>
        <w:rPr>
          <w:rFonts w:eastAsia="方正小标宋简体"/>
          <w:bCs/>
          <w:color w:val="000000"/>
          <w:sz w:val="30"/>
          <w:szCs w:val="30"/>
        </w:rPr>
      </w:pPr>
      <w:r>
        <w:rPr>
          <w:rFonts w:eastAsia="方正小标宋简体"/>
          <w:bCs/>
          <w:color w:val="000000"/>
          <w:sz w:val="30"/>
          <w:szCs w:val="30"/>
        </w:rPr>
        <w:t>商务部分正负偏离表</w:t>
      </w:r>
    </w:p>
    <w:p w14:paraId="3F49C2E2">
      <w:pPr>
        <w:spacing w:line="520" w:lineRule="exact"/>
        <w:rPr>
          <w:rFonts w:eastAsia="仿宋"/>
          <w:bCs/>
          <w:color w:val="000000"/>
          <w:sz w:val="28"/>
          <w:szCs w:val="28"/>
          <w:u w:val="single"/>
        </w:rPr>
      </w:pPr>
      <w:r>
        <w:rPr>
          <w:rFonts w:eastAsia="仿宋"/>
          <w:bCs/>
          <w:color w:val="000000"/>
          <w:sz w:val="28"/>
          <w:szCs w:val="28"/>
        </w:rPr>
        <w:t>项目：</w:t>
      </w:r>
      <w:r>
        <w:rPr>
          <w:rFonts w:eastAsia="仿宋"/>
          <w:bCs/>
          <w:color w:val="000000"/>
          <w:sz w:val="28"/>
          <w:szCs w:val="28"/>
          <w:u w:val="single"/>
        </w:rPr>
        <w:t xml:space="preserve">      </w:t>
      </w:r>
      <w:r>
        <w:rPr>
          <w:rFonts w:hint="eastAsia" w:eastAsia="仿宋"/>
          <w:bCs/>
          <w:color w:val="000000"/>
          <w:sz w:val="28"/>
          <w:szCs w:val="28"/>
          <w:u w:val="single"/>
        </w:rPr>
        <w:t xml:space="preserve">   </w:t>
      </w:r>
      <w:r>
        <w:rPr>
          <w:rFonts w:eastAsia="仿宋"/>
          <w:bCs/>
          <w:color w:val="000000"/>
          <w:sz w:val="28"/>
          <w:szCs w:val="28"/>
          <w:u w:val="single"/>
        </w:rPr>
        <w:t xml:space="preserve">       </w:t>
      </w:r>
    </w:p>
    <w:p w14:paraId="0BC6414E">
      <w:pPr>
        <w:spacing w:line="520" w:lineRule="exact"/>
        <w:ind w:firstLine="560" w:firstLineChars="200"/>
        <w:jc w:val="center"/>
        <w:rPr>
          <w:rFonts w:eastAsia="仿宋"/>
          <w:sz w:val="28"/>
          <w:szCs w:val="28"/>
        </w:rPr>
      </w:pPr>
      <w:r>
        <w:rPr>
          <w:rFonts w:eastAsia="仿宋"/>
          <w:sz w:val="28"/>
          <w:szCs w:val="28"/>
        </w:rPr>
        <w:t>（由</w:t>
      </w:r>
      <w:r>
        <w:rPr>
          <w:rFonts w:hint="eastAsia" w:eastAsia="仿宋"/>
          <w:sz w:val="28"/>
          <w:szCs w:val="28"/>
        </w:rPr>
        <w:t>响应供应商</w:t>
      </w:r>
      <w:r>
        <w:rPr>
          <w:rFonts w:eastAsia="仿宋"/>
          <w:sz w:val="28"/>
          <w:szCs w:val="28"/>
        </w:rPr>
        <w:t>据实填写，表格不够自行添加）</w:t>
      </w:r>
    </w:p>
    <w:tbl>
      <w:tblPr>
        <w:tblStyle w:val="13"/>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84"/>
        <w:gridCol w:w="2137"/>
        <w:gridCol w:w="1866"/>
        <w:gridCol w:w="2408"/>
        <w:gridCol w:w="1327"/>
      </w:tblGrid>
      <w:tr w14:paraId="6894AF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4FC401B6">
            <w:pPr>
              <w:spacing w:line="340" w:lineRule="exact"/>
              <w:jc w:val="center"/>
              <w:rPr>
                <w:rFonts w:eastAsia="黑体"/>
                <w:sz w:val="24"/>
              </w:rPr>
            </w:pPr>
            <w:r>
              <w:rPr>
                <w:rFonts w:eastAsia="黑体"/>
                <w:sz w:val="24"/>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2D827BAF">
            <w:pPr>
              <w:spacing w:line="340" w:lineRule="exact"/>
              <w:jc w:val="center"/>
              <w:rPr>
                <w:rFonts w:eastAsia="黑体"/>
                <w:sz w:val="24"/>
              </w:rPr>
            </w:pPr>
            <w:r>
              <w:rPr>
                <w:rFonts w:eastAsia="黑体"/>
                <w:sz w:val="24"/>
              </w:rPr>
              <w:t>货物或服务名称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01CFB6E1">
            <w:pPr>
              <w:spacing w:line="340" w:lineRule="exact"/>
              <w:jc w:val="center"/>
              <w:rPr>
                <w:rFonts w:eastAsia="黑体"/>
                <w:sz w:val="24"/>
              </w:rPr>
            </w:pPr>
            <w:r>
              <w:rPr>
                <w:rFonts w:hint="eastAsia" w:eastAsia="黑体"/>
                <w:sz w:val="24"/>
              </w:rPr>
              <w:t>询价</w:t>
            </w:r>
            <w:r>
              <w:rPr>
                <w:rFonts w:eastAsia="黑体"/>
                <w:sz w:val="24"/>
              </w:rPr>
              <w:t>文件要求的商务条款</w:t>
            </w:r>
          </w:p>
        </w:tc>
        <w:tc>
          <w:tcPr>
            <w:tcW w:w="1413" w:type="pct"/>
            <w:tcBorders>
              <w:top w:val="single" w:color="auto" w:sz="12" w:space="0"/>
              <w:left w:val="single" w:color="auto" w:sz="6" w:space="0"/>
              <w:bottom w:val="single" w:color="auto" w:sz="6" w:space="0"/>
              <w:right w:val="single" w:color="auto" w:sz="6" w:space="0"/>
            </w:tcBorders>
            <w:vAlign w:val="center"/>
          </w:tcPr>
          <w:p w14:paraId="18A78219">
            <w:pPr>
              <w:spacing w:line="340" w:lineRule="exact"/>
              <w:jc w:val="center"/>
              <w:rPr>
                <w:rFonts w:eastAsia="黑体"/>
                <w:sz w:val="24"/>
              </w:rPr>
            </w:pPr>
            <w:r>
              <w:rPr>
                <w:rFonts w:hint="eastAsia" w:eastAsia="黑体"/>
                <w:sz w:val="24"/>
              </w:rPr>
              <w:t>响应</w:t>
            </w:r>
            <w:r>
              <w:rPr>
                <w:rFonts w:eastAsia="黑体"/>
                <w:sz w:val="24"/>
              </w:rPr>
              <w:t>文件响应情况</w:t>
            </w:r>
          </w:p>
        </w:tc>
        <w:tc>
          <w:tcPr>
            <w:tcW w:w="778" w:type="pct"/>
            <w:tcBorders>
              <w:top w:val="single" w:color="auto" w:sz="12" w:space="0"/>
              <w:left w:val="single" w:color="auto" w:sz="6" w:space="0"/>
              <w:bottom w:val="single" w:color="auto" w:sz="6" w:space="0"/>
              <w:right w:val="single" w:color="auto" w:sz="12" w:space="0"/>
            </w:tcBorders>
            <w:vAlign w:val="center"/>
          </w:tcPr>
          <w:p w14:paraId="6D36C0F0">
            <w:pPr>
              <w:spacing w:line="340" w:lineRule="exact"/>
              <w:jc w:val="center"/>
              <w:rPr>
                <w:rFonts w:eastAsia="黑体"/>
                <w:sz w:val="24"/>
              </w:rPr>
            </w:pPr>
            <w:r>
              <w:rPr>
                <w:rFonts w:eastAsia="黑体"/>
                <w:sz w:val="24"/>
              </w:rPr>
              <w:t>偏离说明</w:t>
            </w:r>
          </w:p>
        </w:tc>
      </w:tr>
      <w:tr w14:paraId="0022A3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vAlign w:val="center"/>
          </w:tcPr>
          <w:p w14:paraId="2B1B96C9">
            <w:pPr>
              <w:spacing w:line="340" w:lineRule="exact"/>
              <w:jc w:val="center"/>
              <w:rPr>
                <w:rFonts w:ascii="Times New Roman" w:hAnsi="Times New Roman"/>
                <w:sz w:val="24"/>
              </w:rPr>
            </w:pPr>
            <w:r>
              <w:rPr>
                <w:rFonts w:ascii="Times New Roman" w:hAnsi="Times New Roman"/>
                <w:sz w:val="24"/>
              </w:rPr>
              <w:t>1</w:t>
            </w:r>
          </w:p>
        </w:tc>
        <w:tc>
          <w:tcPr>
            <w:tcW w:w="1254" w:type="pct"/>
            <w:tcBorders>
              <w:top w:val="single" w:color="auto" w:sz="6" w:space="0"/>
              <w:left w:val="single" w:color="auto" w:sz="6" w:space="0"/>
              <w:bottom w:val="single" w:color="auto" w:sz="6" w:space="0"/>
              <w:right w:val="single" w:color="auto" w:sz="6" w:space="0"/>
            </w:tcBorders>
            <w:vAlign w:val="center"/>
          </w:tcPr>
          <w:p w14:paraId="5C7465D9">
            <w:pPr>
              <w:spacing w:line="340" w:lineRule="exact"/>
              <w:jc w:val="left"/>
              <w:rPr>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787424F3">
            <w:pPr>
              <w:spacing w:line="340" w:lineRule="exact"/>
              <w:jc w:val="left"/>
              <w:rPr>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1ABA666E">
            <w:pPr>
              <w:spacing w:line="340" w:lineRule="exact"/>
              <w:jc w:val="left"/>
              <w:rPr>
                <w:sz w:val="24"/>
              </w:rPr>
            </w:pPr>
          </w:p>
        </w:tc>
        <w:tc>
          <w:tcPr>
            <w:tcW w:w="778" w:type="pct"/>
            <w:tcBorders>
              <w:top w:val="single" w:color="auto" w:sz="6" w:space="0"/>
              <w:left w:val="single" w:color="auto" w:sz="6" w:space="0"/>
              <w:bottom w:val="single" w:color="auto" w:sz="6" w:space="0"/>
              <w:right w:val="single" w:color="auto" w:sz="12" w:space="0"/>
            </w:tcBorders>
            <w:vAlign w:val="center"/>
          </w:tcPr>
          <w:p w14:paraId="7BF85004">
            <w:pPr>
              <w:spacing w:line="340" w:lineRule="exact"/>
              <w:jc w:val="left"/>
              <w:rPr>
                <w:sz w:val="24"/>
              </w:rPr>
            </w:pPr>
          </w:p>
        </w:tc>
      </w:tr>
      <w:tr w14:paraId="097AF9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vAlign w:val="center"/>
          </w:tcPr>
          <w:p w14:paraId="4BDF0ED8">
            <w:pPr>
              <w:spacing w:line="340" w:lineRule="exact"/>
              <w:jc w:val="center"/>
              <w:rPr>
                <w:rFonts w:ascii="Times New Roman" w:hAnsi="Times New Roman"/>
                <w:sz w:val="24"/>
              </w:rPr>
            </w:pPr>
            <w:r>
              <w:rPr>
                <w:rFonts w:ascii="Times New Roman" w:hAnsi="Times New Roman"/>
                <w:sz w:val="24"/>
              </w:rPr>
              <w:t>2</w:t>
            </w:r>
          </w:p>
        </w:tc>
        <w:tc>
          <w:tcPr>
            <w:tcW w:w="1254" w:type="pct"/>
            <w:tcBorders>
              <w:top w:val="single" w:color="auto" w:sz="6" w:space="0"/>
              <w:left w:val="single" w:color="auto" w:sz="6" w:space="0"/>
              <w:bottom w:val="single" w:color="auto" w:sz="6" w:space="0"/>
              <w:right w:val="single" w:color="auto" w:sz="6" w:space="0"/>
            </w:tcBorders>
            <w:vAlign w:val="center"/>
          </w:tcPr>
          <w:p w14:paraId="474960D1">
            <w:pPr>
              <w:spacing w:line="340" w:lineRule="exact"/>
              <w:jc w:val="left"/>
              <w:rPr>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65140CD0">
            <w:pPr>
              <w:spacing w:line="340" w:lineRule="exact"/>
              <w:jc w:val="left"/>
              <w:rPr>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4D3C6E10">
            <w:pPr>
              <w:spacing w:line="340" w:lineRule="exact"/>
              <w:jc w:val="left"/>
              <w:rPr>
                <w:sz w:val="24"/>
              </w:rPr>
            </w:pPr>
          </w:p>
        </w:tc>
        <w:tc>
          <w:tcPr>
            <w:tcW w:w="778" w:type="pct"/>
            <w:tcBorders>
              <w:top w:val="single" w:color="auto" w:sz="6" w:space="0"/>
              <w:left w:val="single" w:color="auto" w:sz="6" w:space="0"/>
              <w:bottom w:val="single" w:color="auto" w:sz="6" w:space="0"/>
              <w:right w:val="single" w:color="auto" w:sz="12" w:space="0"/>
            </w:tcBorders>
            <w:vAlign w:val="center"/>
          </w:tcPr>
          <w:p w14:paraId="2257483C">
            <w:pPr>
              <w:spacing w:line="340" w:lineRule="exact"/>
              <w:jc w:val="left"/>
              <w:rPr>
                <w:sz w:val="24"/>
              </w:rPr>
            </w:pPr>
          </w:p>
        </w:tc>
      </w:tr>
      <w:tr w14:paraId="5E55A2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vAlign w:val="center"/>
          </w:tcPr>
          <w:p w14:paraId="4DB98CE1">
            <w:pPr>
              <w:spacing w:line="340" w:lineRule="exact"/>
              <w:jc w:val="center"/>
              <w:rPr>
                <w:rFonts w:ascii="Times New Roman" w:hAnsi="Times New Roman"/>
                <w:sz w:val="24"/>
              </w:rPr>
            </w:pPr>
            <w:r>
              <w:rPr>
                <w:rFonts w:ascii="Times New Roman" w:hAnsi="Times New Roman"/>
                <w:sz w:val="24"/>
              </w:rPr>
              <w:t>3</w:t>
            </w:r>
          </w:p>
        </w:tc>
        <w:tc>
          <w:tcPr>
            <w:tcW w:w="1254" w:type="pct"/>
            <w:tcBorders>
              <w:top w:val="single" w:color="auto" w:sz="6" w:space="0"/>
              <w:left w:val="single" w:color="auto" w:sz="6" w:space="0"/>
              <w:bottom w:val="single" w:color="auto" w:sz="6" w:space="0"/>
              <w:right w:val="single" w:color="auto" w:sz="6" w:space="0"/>
            </w:tcBorders>
            <w:vAlign w:val="center"/>
          </w:tcPr>
          <w:p w14:paraId="625E7225">
            <w:pPr>
              <w:spacing w:line="340" w:lineRule="exact"/>
              <w:jc w:val="left"/>
              <w:rPr>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5C4DF08C">
            <w:pPr>
              <w:spacing w:line="340" w:lineRule="exact"/>
              <w:jc w:val="left"/>
              <w:rPr>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35121569">
            <w:pPr>
              <w:spacing w:line="340" w:lineRule="exact"/>
              <w:jc w:val="left"/>
              <w:rPr>
                <w:sz w:val="24"/>
              </w:rPr>
            </w:pPr>
          </w:p>
        </w:tc>
        <w:tc>
          <w:tcPr>
            <w:tcW w:w="778" w:type="pct"/>
            <w:tcBorders>
              <w:top w:val="single" w:color="auto" w:sz="6" w:space="0"/>
              <w:left w:val="single" w:color="auto" w:sz="6" w:space="0"/>
              <w:bottom w:val="single" w:color="auto" w:sz="6" w:space="0"/>
              <w:right w:val="single" w:color="auto" w:sz="12" w:space="0"/>
            </w:tcBorders>
            <w:vAlign w:val="center"/>
          </w:tcPr>
          <w:p w14:paraId="11CC1BDD">
            <w:pPr>
              <w:spacing w:line="340" w:lineRule="exact"/>
              <w:jc w:val="left"/>
              <w:rPr>
                <w:sz w:val="24"/>
              </w:rPr>
            </w:pPr>
          </w:p>
        </w:tc>
      </w:tr>
      <w:tr w14:paraId="0A7DED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vAlign w:val="center"/>
          </w:tcPr>
          <w:p w14:paraId="16360851">
            <w:pPr>
              <w:spacing w:line="340" w:lineRule="exact"/>
              <w:jc w:val="center"/>
              <w:rPr>
                <w:rFonts w:ascii="Times New Roman" w:hAnsi="Times New Roman"/>
                <w:sz w:val="24"/>
              </w:rPr>
            </w:pPr>
            <w:r>
              <w:rPr>
                <w:rFonts w:ascii="Times New Roman" w:hAnsi="Times New Roman"/>
                <w:sz w:val="24"/>
              </w:rPr>
              <w:t>4</w:t>
            </w:r>
          </w:p>
        </w:tc>
        <w:tc>
          <w:tcPr>
            <w:tcW w:w="1254" w:type="pct"/>
            <w:tcBorders>
              <w:top w:val="single" w:color="auto" w:sz="6" w:space="0"/>
              <w:left w:val="single" w:color="auto" w:sz="6" w:space="0"/>
              <w:bottom w:val="single" w:color="auto" w:sz="6" w:space="0"/>
              <w:right w:val="single" w:color="auto" w:sz="6" w:space="0"/>
            </w:tcBorders>
            <w:vAlign w:val="center"/>
          </w:tcPr>
          <w:p w14:paraId="31E9C51F">
            <w:pPr>
              <w:spacing w:line="340" w:lineRule="exact"/>
              <w:jc w:val="left"/>
              <w:rPr>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703C0ADA">
            <w:pPr>
              <w:spacing w:line="340" w:lineRule="exact"/>
              <w:jc w:val="left"/>
              <w:rPr>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4A79502B">
            <w:pPr>
              <w:spacing w:line="340" w:lineRule="exact"/>
              <w:jc w:val="left"/>
              <w:rPr>
                <w:sz w:val="24"/>
              </w:rPr>
            </w:pPr>
          </w:p>
        </w:tc>
        <w:tc>
          <w:tcPr>
            <w:tcW w:w="778" w:type="pct"/>
            <w:tcBorders>
              <w:top w:val="single" w:color="auto" w:sz="6" w:space="0"/>
              <w:left w:val="single" w:color="auto" w:sz="6" w:space="0"/>
              <w:bottom w:val="single" w:color="auto" w:sz="6" w:space="0"/>
              <w:right w:val="single" w:color="auto" w:sz="12" w:space="0"/>
            </w:tcBorders>
            <w:vAlign w:val="center"/>
          </w:tcPr>
          <w:p w14:paraId="2B056EF1">
            <w:pPr>
              <w:spacing w:line="340" w:lineRule="exact"/>
              <w:jc w:val="left"/>
              <w:rPr>
                <w:sz w:val="24"/>
              </w:rPr>
            </w:pPr>
          </w:p>
        </w:tc>
      </w:tr>
    </w:tbl>
    <w:p w14:paraId="1C1D0619">
      <w:pPr>
        <w:snapToGrid w:val="0"/>
        <w:spacing w:line="300" w:lineRule="auto"/>
        <w:contextualSpacing/>
        <w:rPr>
          <w:rFonts w:eastAsia="仿宋"/>
          <w:b/>
          <w:bCs/>
          <w:sz w:val="28"/>
          <w:szCs w:val="28"/>
        </w:rPr>
      </w:pPr>
      <w:r>
        <w:rPr>
          <w:rFonts w:eastAsia="仿宋"/>
          <w:b/>
          <w:bCs/>
          <w:sz w:val="28"/>
          <w:szCs w:val="28"/>
        </w:rPr>
        <w:t>注：</w:t>
      </w:r>
    </w:p>
    <w:p w14:paraId="207FA9A0">
      <w:pPr>
        <w:snapToGrid w:val="0"/>
        <w:spacing w:line="300" w:lineRule="auto"/>
        <w:ind w:firstLine="560" w:firstLineChars="200"/>
        <w:contextualSpacing/>
        <w:rPr>
          <w:rFonts w:ascii="Times New Roman" w:hAnsi="Times New Roman" w:eastAsia="仿宋"/>
          <w:sz w:val="28"/>
          <w:szCs w:val="28"/>
        </w:rPr>
      </w:pPr>
      <w:r>
        <w:rPr>
          <w:rFonts w:ascii="Times New Roman" w:hAnsi="Times New Roman" w:eastAsia="仿宋"/>
          <w:sz w:val="28"/>
          <w:szCs w:val="28"/>
        </w:rPr>
        <w:t>1.未说明偏离的，将被认为响应</w:t>
      </w:r>
      <w:r>
        <w:rPr>
          <w:rFonts w:hint="eastAsia" w:ascii="Times New Roman" w:hAnsi="Times New Roman" w:eastAsia="仿宋"/>
          <w:sz w:val="28"/>
          <w:szCs w:val="28"/>
        </w:rPr>
        <w:t>询价</w:t>
      </w:r>
      <w:r>
        <w:rPr>
          <w:rFonts w:ascii="Times New Roman" w:hAnsi="Times New Roman" w:eastAsia="仿宋"/>
          <w:sz w:val="28"/>
          <w:szCs w:val="28"/>
        </w:rPr>
        <w:t>文件的规定，但该表不作为供应商对所响应内容关于商务部分等详细描述和说明的替代。</w:t>
      </w:r>
    </w:p>
    <w:p w14:paraId="5C9B2FF9">
      <w:pPr>
        <w:snapToGrid w:val="0"/>
        <w:spacing w:line="300" w:lineRule="auto"/>
        <w:ind w:firstLine="560" w:firstLineChars="200"/>
        <w:contextualSpacing/>
        <w:rPr>
          <w:rFonts w:ascii="Times New Roman" w:hAnsi="Times New Roman" w:eastAsia="仿宋"/>
          <w:sz w:val="28"/>
          <w:szCs w:val="28"/>
        </w:rPr>
      </w:pPr>
      <w:r>
        <w:rPr>
          <w:rFonts w:ascii="Times New Roman" w:hAnsi="Times New Roman" w:eastAsia="仿宋"/>
          <w:sz w:val="28"/>
          <w:szCs w:val="28"/>
        </w:rPr>
        <w:t>2.如有偏离的，在“偏离说明”一栏选择“正偏离”</w:t>
      </w:r>
      <w:r>
        <w:rPr>
          <w:rFonts w:hint="eastAsia" w:eastAsia="仿宋"/>
          <w:sz w:val="28"/>
          <w:szCs w:val="28"/>
        </w:rPr>
        <w:t>或者</w:t>
      </w:r>
      <w:r>
        <w:rPr>
          <w:rFonts w:ascii="Times New Roman" w:hAnsi="Times New Roman" w:eastAsia="仿宋"/>
          <w:sz w:val="28"/>
          <w:szCs w:val="28"/>
        </w:rPr>
        <w:t>“负偏离”进行填写。正偏离、负偏离的确认和</w:t>
      </w:r>
      <w:r>
        <w:rPr>
          <w:rFonts w:ascii="Times New Roman" w:hAnsi="Times New Roman" w:eastAsia="仿宋"/>
          <w:color w:val="000000"/>
          <w:sz w:val="28"/>
          <w:szCs w:val="28"/>
        </w:rPr>
        <w:t>负偏离的是否响应</w:t>
      </w:r>
      <w:r>
        <w:rPr>
          <w:rFonts w:hint="eastAsia" w:ascii="Times New Roman" w:hAnsi="Times New Roman" w:eastAsia="仿宋"/>
          <w:color w:val="000000"/>
          <w:sz w:val="28"/>
          <w:szCs w:val="28"/>
        </w:rPr>
        <w:t>询价</w:t>
      </w:r>
      <w:r>
        <w:rPr>
          <w:rFonts w:ascii="Times New Roman" w:hAnsi="Times New Roman" w:eastAsia="仿宋"/>
          <w:color w:val="000000"/>
          <w:sz w:val="28"/>
          <w:szCs w:val="28"/>
        </w:rPr>
        <w:t>文件，由</w:t>
      </w:r>
      <w:r>
        <w:rPr>
          <w:rFonts w:hint="eastAsia" w:ascii="Times New Roman" w:hAnsi="Times New Roman" w:eastAsia="仿宋"/>
          <w:color w:val="000000"/>
          <w:sz w:val="28"/>
          <w:szCs w:val="28"/>
        </w:rPr>
        <w:t>询价</w:t>
      </w:r>
      <w:r>
        <w:rPr>
          <w:rFonts w:ascii="Times New Roman" w:hAnsi="Times New Roman" w:eastAsia="仿宋"/>
          <w:color w:val="000000"/>
          <w:sz w:val="28"/>
          <w:szCs w:val="28"/>
        </w:rPr>
        <w:t>小组认定。</w:t>
      </w:r>
    </w:p>
    <w:p w14:paraId="488C3CEC">
      <w:pPr>
        <w:snapToGrid w:val="0"/>
        <w:spacing w:line="300" w:lineRule="auto"/>
        <w:ind w:firstLine="560" w:firstLineChars="200"/>
        <w:contextualSpacing/>
        <w:rPr>
          <w:rFonts w:ascii="Times New Roman" w:hAnsi="Times New Roman" w:eastAsia="仿宋"/>
          <w:bCs/>
          <w:sz w:val="28"/>
          <w:szCs w:val="28"/>
        </w:rPr>
      </w:pPr>
      <w:r>
        <w:rPr>
          <w:rFonts w:ascii="Times New Roman" w:hAnsi="Times New Roman" w:eastAsia="仿宋"/>
          <w:bCs/>
          <w:sz w:val="28"/>
          <w:szCs w:val="28"/>
        </w:rPr>
        <w:t>3.供应商若提供其他增值服务，可以在表中自行据实填写。</w:t>
      </w:r>
    </w:p>
    <w:p w14:paraId="4709FEEE">
      <w:pPr>
        <w:snapToGrid w:val="0"/>
        <w:spacing w:line="400" w:lineRule="exact"/>
        <w:ind w:firstLine="540" w:firstLineChars="192"/>
        <w:contextualSpacing/>
        <w:rPr>
          <w:rFonts w:eastAsia="仿宋"/>
          <w:b/>
          <w:kern w:val="0"/>
          <w:sz w:val="28"/>
          <w:szCs w:val="28"/>
        </w:rPr>
      </w:pPr>
    </w:p>
    <w:p w14:paraId="6585B817">
      <w:pPr>
        <w:snapToGrid w:val="0"/>
        <w:spacing w:line="400" w:lineRule="exact"/>
        <w:ind w:firstLine="540" w:firstLineChars="192"/>
        <w:contextualSpacing/>
        <w:rPr>
          <w:rFonts w:eastAsia="仿宋"/>
          <w:b/>
          <w:kern w:val="0"/>
          <w:sz w:val="28"/>
          <w:szCs w:val="28"/>
        </w:rPr>
      </w:pPr>
    </w:p>
    <w:p w14:paraId="55F43D12">
      <w:pPr>
        <w:snapToGrid w:val="0"/>
        <w:spacing w:line="300" w:lineRule="auto"/>
        <w:ind w:firstLine="560" w:firstLineChars="200"/>
        <w:contextualSpacing/>
        <w:rPr>
          <w:rFonts w:eastAsia="仿宋"/>
          <w:sz w:val="28"/>
          <w:szCs w:val="28"/>
        </w:rPr>
      </w:pPr>
    </w:p>
    <w:p w14:paraId="15D7B8E7">
      <w:pPr>
        <w:snapToGrid w:val="0"/>
        <w:spacing w:line="300" w:lineRule="auto"/>
        <w:ind w:firstLine="3080" w:firstLineChars="1100"/>
        <w:contextualSpacing/>
        <w:rPr>
          <w:rFonts w:eastAsia="仿宋"/>
          <w:sz w:val="28"/>
          <w:szCs w:val="28"/>
        </w:rPr>
      </w:pPr>
      <w:r>
        <w:rPr>
          <w:rFonts w:hint="eastAsia" w:eastAsia="仿宋"/>
          <w:sz w:val="28"/>
          <w:szCs w:val="28"/>
        </w:rPr>
        <w:t>供应商</w:t>
      </w:r>
      <w:r>
        <w:rPr>
          <w:rFonts w:eastAsia="仿宋"/>
          <w:sz w:val="28"/>
          <w:szCs w:val="28"/>
        </w:rPr>
        <w:t>名称（</w:t>
      </w:r>
      <w:r>
        <w:rPr>
          <w:rFonts w:hint="eastAsia" w:eastAsia="仿宋"/>
          <w:bCs/>
          <w:color w:val="000000"/>
          <w:sz w:val="28"/>
          <w:szCs w:val="28"/>
        </w:rPr>
        <w:t>加盖</w:t>
      </w:r>
      <w:r>
        <w:rPr>
          <w:rFonts w:eastAsia="仿宋"/>
          <w:sz w:val="28"/>
          <w:szCs w:val="28"/>
        </w:rPr>
        <w:t>公章）：</w:t>
      </w:r>
      <w:r>
        <w:rPr>
          <w:rFonts w:eastAsia="仿宋"/>
          <w:sz w:val="28"/>
          <w:szCs w:val="28"/>
          <w:u w:val="single"/>
        </w:rPr>
        <w:t xml:space="preserve">                  </w:t>
      </w:r>
    </w:p>
    <w:p w14:paraId="0FDD35D6">
      <w:pPr>
        <w:snapToGrid w:val="0"/>
        <w:spacing w:line="300" w:lineRule="auto"/>
        <w:ind w:firstLine="3080" w:firstLineChars="1100"/>
        <w:contextualSpacing/>
        <w:rPr>
          <w:rFonts w:eastAsia="仿宋"/>
          <w:sz w:val="28"/>
          <w:szCs w:val="28"/>
        </w:rPr>
      </w:pPr>
      <w:r>
        <w:rPr>
          <w:rFonts w:eastAsia="仿宋"/>
          <w:sz w:val="28"/>
          <w:szCs w:val="28"/>
        </w:rPr>
        <w:t>日期：</w:t>
      </w:r>
      <w:r>
        <w:rPr>
          <w:rFonts w:eastAsia="仿宋"/>
          <w:sz w:val="28"/>
          <w:szCs w:val="28"/>
          <w:u w:val="single"/>
        </w:rPr>
        <w:t xml:space="preserve">       </w:t>
      </w:r>
      <w:r>
        <w:rPr>
          <w:rFonts w:eastAsia="仿宋"/>
          <w:sz w:val="28"/>
          <w:szCs w:val="28"/>
        </w:rPr>
        <w:t>年</w:t>
      </w:r>
      <w:r>
        <w:rPr>
          <w:rFonts w:eastAsia="仿宋"/>
          <w:sz w:val="28"/>
          <w:szCs w:val="28"/>
          <w:u w:val="single"/>
        </w:rPr>
        <w:t xml:space="preserve">   </w:t>
      </w:r>
      <w:r>
        <w:rPr>
          <w:rFonts w:eastAsia="仿宋"/>
          <w:sz w:val="28"/>
          <w:szCs w:val="28"/>
        </w:rPr>
        <w:t>月</w:t>
      </w:r>
      <w:r>
        <w:rPr>
          <w:rFonts w:eastAsia="仿宋"/>
          <w:sz w:val="28"/>
          <w:szCs w:val="28"/>
          <w:u w:val="single"/>
        </w:rPr>
        <w:t xml:space="preserve">    </w:t>
      </w:r>
      <w:r>
        <w:rPr>
          <w:rFonts w:eastAsia="仿宋"/>
          <w:sz w:val="28"/>
          <w:szCs w:val="28"/>
        </w:rPr>
        <w:t>日</w:t>
      </w:r>
    </w:p>
    <w:p w14:paraId="346703E5">
      <w:pPr>
        <w:snapToGrid w:val="0"/>
        <w:spacing w:line="300" w:lineRule="auto"/>
        <w:ind w:firstLine="480" w:firstLineChars="200"/>
        <w:contextualSpacing/>
        <w:rPr>
          <w:sz w:val="24"/>
        </w:rPr>
      </w:pPr>
    </w:p>
    <w:p w14:paraId="6F0D4806">
      <w:pPr>
        <w:snapToGrid w:val="0"/>
        <w:spacing w:line="400" w:lineRule="exact"/>
        <w:contextualSpacing/>
        <w:rPr>
          <w:rFonts w:eastAsia="方正黑体_GBK"/>
          <w:kern w:val="0"/>
          <w:sz w:val="32"/>
          <w:szCs w:val="32"/>
        </w:rPr>
      </w:pPr>
    </w:p>
    <w:p w14:paraId="6B90F43B">
      <w:pPr>
        <w:snapToGrid w:val="0"/>
        <w:spacing w:line="400" w:lineRule="exact"/>
        <w:contextualSpacing/>
        <w:rPr>
          <w:rFonts w:eastAsia="方正黑体_GBK"/>
          <w:kern w:val="0"/>
          <w:sz w:val="32"/>
          <w:szCs w:val="32"/>
        </w:rPr>
      </w:pPr>
    </w:p>
    <w:p w14:paraId="32F6648F">
      <w:pPr>
        <w:snapToGrid w:val="0"/>
        <w:spacing w:line="400" w:lineRule="exact"/>
        <w:contextualSpacing/>
        <w:rPr>
          <w:rFonts w:eastAsia="方正黑体_GBK"/>
          <w:kern w:val="0"/>
          <w:sz w:val="32"/>
          <w:szCs w:val="32"/>
        </w:rPr>
      </w:pPr>
    </w:p>
    <w:p w14:paraId="317C95CC">
      <w:pPr>
        <w:snapToGrid w:val="0"/>
        <w:spacing w:line="400" w:lineRule="exact"/>
        <w:contextualSpacing/>
        <w:rPr>
          <w:rFonts w:eastAsia="方正黑体_GBK"/>
          <w:kern w:val="0"/>
          <w:sz w:val="32"/>
          <w:szCs w:val="32"/>
        </w:rPr>
      </w:pPr>
    </w:p>
    <w:p w14:paraId="138B7067">
      <w:pPr>
        <w:snapToGrid w:val="0"/>
        <w:spacing w:line="400" w:lineRule="exact"/>
        <w:contextualSpacing/>
        <w:rPr>
          <w:rFonts w:eastAsia="方正黑体_GBK"/>
          <w:kern w:val="0"/>
          <w:sz w:val="32"/>
          <w:szCs w:val="32"/>
        </w:rPr>
      </w:pPr>
    </w:p>
    <w:p w14:paraId="481A60CB">
      <w:pPr>
        <w:snapToGrid w:val="0"/>
        <w:spacing w:line="400" w:lineRule="exact"/>
        <w:contextualSpacing/>
        <w:rPr>
          <w:rFonts w:eastAsia="方正黑体_GBK"/>
          <w:kern w:val="0"/>
          <w:sz w:val="32"/>
          <w:szCs w:val="32"/>
        </w:rPr>
      </w:pPr>
    </w:p>
    <w:p w14:paraId="017BA516">
      <w:pPr>
        <w:snapToGrid w:val="0"/>
        <w:spacing w:line="400" w:lineRule="exact"/>
        <w:contextualSpacing/>
        <w:rPr>
          <w:rFonts w:eastAsia="方正黑体_GBK"/>
          <w:kern w:val="0"/>
          <w:sz w:val="32"/>
          <w:szCs w:val="32"/>
        </w:rPr>
      </w:pPr>
    </w:p>
    <w:p w14:paraId="6F1DFBA6">
      <w:pPr>
        <w:snapToGrid w:val="0"/>
        <w:spacing w:line="400" w:lineRule="exact"/>
        <w:contextualSpacing/>
        <w:rPr>
          <w:rFonts w:eastAsia="方正黑体_GBK"/>
          <w:kern w:val="0"/>
          <w:sz w:val="32"/>
          <w:szCs w:val="32"/>
        </w:rPr>
      </w:pPr>
    </w:p>
    <w:p w14:paraId="6763E938">
      <w:pPr>
        <w:snapToGrid w:val="0"/>
        <w:spacing w:line="400" w:lineRule="exact"/>
        <w:contextualSpacing/>
        <w:rPr>
          <w:rFonts w:hint="eastAsia" w:ascii="Times New Roman" w:hAnsi="Times New Roman" w:eastAsia="方正黑体_GBK"/>
          <w:kern w:val="0"/>
          <w:sz w:val="32"/>
          <w:szCs w:val="32"/>
          <w:lang w:val="en-US" w:eastAsia="zh-CN"/>
        </w:rPr>
      </w:pPr>
      <w:r>
        <w:rPr>
          <w:rFonts w:ascii="Times New Roman" w:hAnsi="Times New Roman" w:eastAsia="方正黑体_GBK"/>
          <w:kern w:val="0"/>
          <w:sz w:val="32"/>
          <w:szCs w:val="32"/>
        </w:rPr>
        <w:t>附件</w:t>
      </w:r>
      <w:r>
        <w:rPr>
          <w:rFonts w:hint="eastAsia" w:ascii="Times New Roman" w:hAnsi="Times New Roman" w:eastAsia="方正黑体_GBK"/>
          <w:kern w:val="0"/>
          <w:sz w:val="32"/>
          <w:szCs w:val="32"/>
          <w:lang w:val="en-US" w:eastAsia="zh-CN"/>
        </w:rPr>
        <w:t>五</w:t>
      </w:r>
    </w:p>
    <w:p w14:paraId="7EF70652">
      <w:pPr>
        <w:jc w:val="center"/>
        <w:rPr>
          <w:rFonts w:eastAsia="方正小标宋简体"/>
          <w:bCs/>
          <w:color w:val="000000"/>
          <w:sz w:val="30"/>
          <w:szCs w:val="30"/>
        </w:rPr>
      </w:pPr>
      <w:r>
        <w:rPr>
          <w:rFonts w:eastAsia="方正小标宋简体"/>
          <w:bCs/>
          <w:color w:val="000000"/>
          <w:sz w:val="30"/>
          <w:szCs w:val="30"/>
        </w:rPr>
        <w:t>技术部分正负偏离表</w:t>
      </w:r>
    </w:p>
    <w:p w14:paraId="65BA7717">
      <w:pPr>
        <w:spacing w:line="520" w:lineRule="exact"/>
        <w:rPr>
          <w:rFonts w:eastAsia="仿宋"/>
          <w:sz w:val="28"/>
          <w:szCs w:val="28"/>
        </w:rPr>
      </w:pPr>
      <w:r>
        <w:rPr>
          <w:rFonts w:eastAsia="仿宋"/>
          <w:bCs/>
          <w:color w:val="000000"/>
          <w:sz w:val="28"/>
          <w:szCs w:val="28"/>
        </w:rPr>
        <w:t>项目</w:t>
      </w:r>
      <w:r>
        <w:rPr>
          <w:rFonts w:hint="eastAsia" w:eastAsia="仿宋"/>
          <w:bCs/>
          <w:color w:val="000000"/>
          <w:sz w:val="28"/>
          <w:szCs w:val="28"/>
        </w:rPr>
        <w:t>：</w:t>
      </w:r>
      <w:r>
        <w:rPr>
          <w:rFonts w:eastAsia="仿宋"/>
          <w:sz w:val="28"/>
          <w:szCs w:val="28"/>
          <w:u w:val="single"/>
        </w:rPr>
        <w:t xml:space="preserve">                    </w:t>
      </w:r>
    </w:p>
    <w:p w14:paraId="3D779E93">
      <w:pPr>
        <w:spacing w:line="520" w:lineRule="exact"/>
        <w:ind w:firstLine="560" w:firstLineChars="200"/>
        <w:jc w:val="center"/>
        <w:rPr>
          <w:rFonts w:eastAsia="仿宋"/>
          <w:sz w:val="28"/>
          <w:szCs w:val="28"/>
        </w:rPr>
      </w:pPr>
      <w:r>
        <w:rPr>
          <w:rFonts w:eastAsia="仿宋"/>
          <w:sz w:val="28"/>
          <w:szCs w:val="28"/>
        </w:rPr>
        <w:t>（由</w:t>
      </w:r>
      <w:r>
        <w:rPr>
          <w:rFonts w:hint="eastAsia" w:eastAsia="仿宋"/>
          <w:sz w:val="28"/>
          <w:szCs w:val="28"/>
        </w:rPr>
        <w:t>响应供应商</w:t>
      </w:r>
      <w:r>
        <w:rPr>
          <w:rFonts w:eastAsia="仿宋"/>
          <w:sz w:val="28"/>
          <w:szCs w:val="28"/>
        </w:rPr>
        <w:t>据实填写，表格不够自行添加）</w:t>
      </w:r>
    </w:p>
    <w:tbl>
      <w:tblPr>
        <w:tblStyle w:val="13"/>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84"/>
        <w:gridCol w:w="2137"/>
        <w:gridCol w:w="1866"/>
        <w:gridCol w:w="2408"/>
        <w:gridCol w:w="1327"/>
      </w:tblGrid>
      <w:tr w14:paraId="5D9172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jc w:val="center"/>
        </w:trPr>
        <w:tc>
          <w:tcPr>
            <w:tcW w:w="460" w:type="pct"/>
            <w:tcBorders>
              <w:top w:val="single" w:color="auto" w:sz="12" w:space="0"/>
              <w:left w:val="single" w:color="auto" w:sz="12" w:space="0"/>
              <w:bottom w:val="single" w:color="auto" w:sz="6" w:space="0"/>
              <w:right w:val="single" w:color="auto" w:sz="6" w:space="0"/>
            </w:tcBorders>
            <w:vAlign w:val="center"/>
          </w:tcPr>
          <w:p w14:paraId="310B327D">
            <w:pPr>
              <w:spacing w:line="340" w:lineRule="exact"/>
              <w:jc w:val="center"/>
              <w:rPr>
                <w:rFonts w:eastAsia="黑体"/>
                <w:sz w:val="24"/>
              </w:rPr>
            </w:pPr>
            <w:r>
              <w:rPr>
                <w:rFonts w:eastAsia="黑体"/>
                <w:sz w:val="24"/>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159CAB05">
            <w:pPr>
              <w:spacing w:line="340" w:lineRule="exact"/>
              <w:jc w:val="center"/>
              <w:rPr>
                <w:rFonts w:eastAsia="黑体"/>
                <w:sz w:val="24"/>
              </w:rPr>
            </w:pPr>
            <w:r>
              <w:rPr>
                <w:rFonts w:eastAsia="黑体"/>
                <w:sz w:val="24"/>
              </w:rPr>
              <w:t>货物或服务名称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3659AED7">
            <w:pPr>
              <w:spacing w:line="340" w:lineRule="exact"/>
              <w:jc w:val="center"/>
              <w:rPr>
                <w:rFonts w:eastAsia="黑体"/>
                <w:sz w:val="24"/>
              </w:rPr>
            </w:pPr>
            <w:r>
              <w:rPr>
                <w:rFonts w:hint="eastAsia" w:eastAsia="黑体"/>
                <w:sz w:val="24"/>
              </w:rPr>
              <w:t>询价</w:t>
            </w:r>
            <w:r>
              <w:rPr>
                <w:rFonts w:eastAsia="黑体"/>
                <w:sz w:val="24"/>
              </w:rPr>
              <w:t>文件要求的技术要求</w:t>
            </w:r>
          </w:p>
        </w:tc>
        <w:tc>
          <w:tcPr>
            <w:tcW w:w="1413" w:type="pct"/>
            <w:tcBorders>
              <w:top w:val="single" w:color="auto" w:sz="12" w:space="0"/>
              <w:left w:val="single" w:color="auto" w:sz="6" w:space="0"/>
              <w:bottom w:val="single" w:color="auto" w:sz="6" w:space="0"/>
              <w:right w:val="single" w:color="auto" w:sz="6" w:space="0"/>
            </w:tcBorders>
            <w:vAlign w:val="center"/>
          </w:tcPr>
          <w:p w14:paraId="299547A5">
            <w:pPr>
              <w:spacing w:line="340" w:lineRule="exact"/>
              <w:jc w:val="center"/>
              <w:rPr>
                <w:rFonts w:eastAsia="黑体"/>
                <w:sz w:val="24"/>
              </w:rPr>
            </w:pPr>
            <w:r>
              <w:rPr>
                <w:rFonts w:hint="eastAsia" w:eastAsia="黑体"/>
                <w:sz w:val="24"/>
              </w:rPr>
              <w:t>响应</w:t>
            </w:r>
            <w:r>
              <w:rPr>
                <w:rFonts w:eastAsia="黑体"/>
                <w:sz w:val="24"/>
              </w:rPr>
              <w:t>文件响应情况</w:t>
            </w:r>
          </w:p>
        </w:tc>
        <w:tc>
          <w:tcPr>
            <w:tcW w:w="778" w:type="pct"/>
            <w:tcBorders>
              <w:top w:val="single" w:color="auto" w:sz="12" w:space="0"/>
              <w:left w:val="single" w:color="auto" w:sz="6" w:space="0"/>
              <w:bottom w:val="single" w:color="auto" w:sz="6" w:space="0"/>
              <w:right w:val="single" w:color="auto" w:sz="12" w:space="0"/>
            </w:tcBorders>
          </w:tcPr>
          <w:p w14:paraId="5EEA611A">
            <w:pPr>
              <w:spacing w:line="340" w:lineRule="exact"/>
              <w:jc w:val="center"/>
              <w:rPr>
                <w:rFonts w:eastAsia="黑体"/>
                <w:sz w:val="24"/>
              </w:rPr>
            </w:pPr>
          </w:p>
          <w:p w14:paraId="609C0C51">
            <w:pPr>
              <w:spacing w:line="340" w:lineRule="exact"/>
              <w:jc w:val="center"/>
              <w:rPr>
                <w:rFonts w:eastAsia="黑体"/>
                <w:sz w:val="24"/>
              </w:rPr>
            </w:pPr>
            <w:r>
              <w:rPr>
                <w:rFonts w:eastAsia="黑体"/>
                <w:sz w:val="24"/>
              </w:rPr>
              <w:t>偏离说明</w:t>
            </w:r>
          </w:p>
        </w:tc>
      </w:tr>
      <w:tr w14:paraId="7E30F3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jc w:val="center"/>
        </w:trPr>
        <w:tc>
          <w:tcPr>
            <w:tcW w:w="460" w:type="pct"/>
            <w:tcBorders>
              <w:top w:val="single" w:color="auto" w:sz="6" w:space="0"/>
              <w:left w:val="single" w:color="auto" w:sz="12" w:space="0"/>
              <w:bottom w:val="single" w:color="auto" w:sz="6" w:space="0"/>
              <w:right w:val="single" w:color="auto" w:sz="6" w:space="0"/>
            </w:tcBorders>
          </w:tcPr>
          <w:p w14:paraId="2FE30BCB">
            <w:pPr>
              <w:spacing w:line="340" w:lineRule="exact"/>
              <w:jc w:val="center"/>
              <w:rPr>
                <w:rFonts w:ascii="Times New Roman" w:hAnsi="Times New Roman"/>
                <w:sz w:val="24"/>
              </w:rPr>
            </w:pPr>
            <w:r>
              <w:rPr>
                <w:rFonts w:ascii="Times New Roman" w:hAnsi="Times New Roman"/>
                <w:sz w:val="24"/>
              </w:rPr>
              <w:t>1</w:t>
            </w:r>
          </w:p>
        </w:tc>
        <w:tc>
          <w:tcPr>
            <w:tcW w:w="1254" w:type="pct"/>
            <w:tcBorders>
              <w:top w:val="single" w:color="auto" w:sz="6" w:space="0"/>
              <w:left w:val="single" w:color="auto" w:sz="6" w:space="0"/>
              <w:bottom w:val="single" w:color="auto" w:sz="6" w:space="0"/>
              <w:right w:val="single" w:color="auto" w:sz="6" w:space="0"/>
            </w:tcBorders>
            <w:vAlign w:val="center"/>
          </w:tcPr>
          <w:p w14:paraId="34483C6B">
            <w:pPr>
              <w:spacing w:line="340" w:lineRule="exact"/>
              <w:jc w:val="left"/>
              <w:rPr>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5242AE42">
            <w:pPr>
              <w:spacing w:line="340" w:lineRule="exact"/>
              <w:jc w:val="left"/>
              <w:rPr>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63240E90">
            <w:pPr>
              <w:spacing w:line="340" w:lineRule="exact"/>
              <w:jc w:val="left"/>
              <w:rPr>
                <w:sz w:val="24"/>
              </w:rPr>
            </w:pPr>
          </w:p>
        </w:tc>
        <w:tc>
          <w:tcPr>
            <w:tcW w:w="778" w:type="pct"/>
            <w:tcBorders>
              <w:top w:val="single" w:color="auto" w:sz="6" w:space="0"/>
              <w:left w:val="single" w:color="auto" w:sz="6" w:space="0"/>
              <w:bottom w:val="single" w:color="auto" w:sz="6" w:space="0"/>
              <w:right w:val="single" w:color="auto" w:sz="12" w:space="0"/>
            </w:tcBorders>
          </w:tcPr>
          <w:p w14:paraId="794F9C6D">
            <w:pPr>
              <w:spacing w:line="340" w:lineRule="exact"/>
              <w:jc w:val="left"/>
              <w:rPr>
                <w:sz w:val="24"/>
              </w:rPr>
            </w:pPr>
          </w:p>
        </w:tc>
      </w:tr>
      <w:tr w14:paraId="410245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460" w:type="pct"/>
            <w:tcBorders>
              <w:top w:val="single" w:color="auto" w:sz="6" w:space="0"/>
              <w:left w:val="single" w:color="auto" w:sz="12" w:space="0"/>
              <w:bottom w:val="single" w:color="auto" w:sz="6" w:space="0"/>
              <w:right w:val="single" w:color="auto" w:sz="6" w:space="0"/>
            </w:tcBorders>
          </w:tcPr>
          <w:p w14:paraId="370B1F38">
            <w:pPr>
              <w:spacing w:line="340" w:lineRule="exact"/>
              <w:jc w:val="center"/>
              <w:rPr>
                <w:rFonts w:ascii="Times New Roman" w:hAnsi="Times New Roman"/>
                <w:sz w:val="24"/>
              </w:rPr>
            </w:pPr>
            <w:r>
              <w:rPr>
                <w:rFonts w:ascii="Times New Roman" w:hAnsi="Times New Roman"/>
                <w:sz w:val="24"/>
              </w:rPr>
              <w:t>2</w:t>
            </w:r>
          </w:p>
        </w:tc>
        <w:tc>
          <w:tcPr>
            <w:tcW w:w="1254" w:type="pct"/>
            <w:tcBorders>
              <w:top w:val="single" w:color="auto" w:sz="6" w:space="0"/>
              <w:left w:val="single" w:color="auto" w:sz="6" w:space="0"/>
              <w:bottom w:val="single" w:color="auto" w:sz="6" w:space="0"/>
              <w:right w:val="single" w:color="auto" w:sz="6" w:space="0"/>
            </w:tcBorders>
            <w:vAlign w:val="center"/>
          </w:tcPr>
          <w:p w14:paraId="40B989E0">
            <w:pPr>
              <w:spacing w:line="340" w:lineRule="exact"/>
              <w:jc w:val="left"/>
              <w:rPr>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28EB2ABF">
            <w:pPr>
              <w:spacing w:line="340" w:lineRule="exact"/>
              <w:jc w:val="left"/>
              <w:rPr>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60D3A917">
            <w:pPr>
              <w:spacing w:line="340" w:lineRule="exact"/>
              <w:jc w:val="left"/>
              <w:rPr>
                <w:sz w:val="24"/>
              </w:rPr>
            </w:pPr>
          </w:p>
        </w:tc>
        <w:tc>
          <w:tcPr>
            <w:tcW w:w="778" w:type="pct"/>
            <w:tcBorders>
              <w:top w:val="single" w:color="auto" w:sz="6" w:space="0"/>
              <w:left w:val="single" w:color="auto" w:sz="6" w:space="0"/>
              <w:bottom w:val="single" w:color="auto" w:sz="6" w:space="0"/>
              <w:right w:val="single" w:color="auto" w:sz="12" w:space="0"/>
            </w:tcBorders>
          </w:tcPr>
          <w:p w14:paraId="330AD10A">
            <w:pPr>
              <w:spacing w:line="340" w:lineRule="exact"/>
              <w:jc w:val="left"/>
              <w:rPr>
                <w:sz w:val="24"/>
              </w:rPr>
            </w:pPr>
          </w:p>
        </w:tc>
      </w:tr>
      <w:tr w14:paraId="0E8538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460" w:type="pct"/>
            <w:tcBorders>
              <w:top w:val="single" w:color="auto" w:sz="6" w:space="0"/>
              <w:left w:val="single" w:color="auto" w:sz="12" w:space="0"/>
              <w:bottom w:val="single" w:color="auto" w:sz="6" w:space="0"/>
              <w:right w:val="single" w:color="auto" w:sz="6" w:space="0"/>
            </w:tcBorders>
          </w:tcPr>
          <w:p w14:paraId="0F3F62AB">
            <w:pPr>
              <w:spacing w:line="340" w:lineRule="exact"/>
              <w:jc w:val="center"/>
              <w:rPr>
                <w:rFonts w:ascii="Times New Roman" w:hAnsi="Times New Roman"/>
                <w:sz w:val="24"/>
              </w:rPr>
            </w:pPr>
            <w:r>
              <w:rPr>
                <w:rFonts w:ascii="Times New Roman" w:hAnsi="Times New Roman"/>
                <w:sz w:val="24"/>
              </w:rPr>
              <w:t>3</w:t>
            </w:r>
          </w:p>
        </w:tc>
        <w:tc>
          <w:tcPr>
            <w:tcW w:w="1254" w:type="pct"/>
            <w:tcBorders>
              <w:top w:val="single" w:color="auto" w:sz="6" w:space="0"/>
              <w:left w:val="single" w:color="auto" w:sz="6" w:space="0"/>
              <w:bottom w:val="single" w:color="auto" w:sz="6" w:space="0"/>
              <w:right w:val="single" w:color="auto" w:sz="6" w:space="0"/>
            </w:tcBorders>
            <w:vAlign w:val="center"/>
          </w:tcPr>
          <w:p w14:paraId="0DB8E7C1">
            <w:pPr>
              <w:spacing w:line="340" w:lineRule="exact"/>
              <w:jc w:val="left"/>
              <w:rPr>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099FA258">
            <w:pPr>
              <w:spacing w:line="340" w:lineRule="exact"/>
              <w:jc w:val="left"/>
              <w:rPr>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4C23CB88">
            <w:pPr>
              <w:spacing w:line="340" w:lineRule="exact"/>
              <w:jc w:val="left"/>
              <w:rPr>
                <w:sz w:val="24"/>
              </w:rPr>
            </w:pPr>
          </w:p>
        </w:tc>
        <w:tc>
          <w:tcPr>
            <w:tcW w:w="778" w:type="pct"/>
            <w:tcBorders>
              <w:top w:val="single" w:color="auto" w:sz="6" w:space="0"/>
              <w:left w:val="single" w:color="auto" w:sz="6" w:space="0"/>
              <w:bottom w:val="single" w:color="auto" w:sz="6" w:space="0"/>
              <w:right w:val="single" w:color="auto" w:sz="12" w:space="0"/>
            </w:tcBorders>
          </w:tcPr>
          <w:p w14:paraId="1443F7C7">
            <w:pPr>
              <w:spacing w:line="340" w:lineRule="exact"/>
              <w:jc w:val="left"/>
              <w:rPr>
                <w:sz w:val="24"/>
              </w:rPr>
            </w:pPr>
          </w:p>
        </w:tc>
      </w:tr>
      <w:tr w14:paraId="073ABA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jc w:val="center"/>
        </w:trPr>
        <w:tc>
          <w:tcPr>
            <w:tcW w:w="460" w:type="pct"/>
            <w:tcBorders>
              <w:top w:val="single" w:color="auto" w:sz="6" w:space="0"/>
              <w:left w:val="single" w:color="auto" w:sz="12" w:space="0"/>
              <w:bottom w:val="single" w:color="auto" w:sz="6" w:space="0"/>
              <w:right w:val="single" w:color="auto" w:sz="6" w:space="0"/>
            </w:tcBorders>
          </w:tcPr>
          <w:p w14:paraId="27E1E4F3">
            <w:pPr>
              <w:spacing w:line="340" w:lineRule="exact"/>
              <w:jc w:val="center"/>
              <w:rPr>
                <w:rFonts w:ascii="Times New Roman" w:hAnsi="Times New Roman"/>
                <w:sz w:val="24"/>
              </w:rPr>
            </w:pPr>
            <w:r>
              <w:rPr>
                <w:rFonts w:ascii="Times New Roman" w:hAnsi="Times New Roman"/>
                <w:sz w:val="24"/>
              </w:rPr>
              <w:t>4</w:t>
            </w:r>
          </w:p>
        </w:tc>
        <w:tc>
          <w:tcPr>
            <w:tcW w:w="1254" w:type="pct"/>
            <w:tcBorders>
              <w:top w:val="single" w:color="auto" w:sz="6" w:space="0"/>
              <w:left w:val="single" w:color="auto" w:sz="6" w:space="0"/>
              <w:bottom w:val="single" w:color="auto" w:sz="6" w:space="0"/>
              <w:right w:val="single" w:color="auto" w:sz="6" w:space="0"/>
            </w:tcBorders>
            <w:vAlign w:val="center"/>
          </w:tcPr>
          <w:p w14:paraId="20190024">
            <w:pPr>
              <w:spacing w:line="340" w:lineRule="exact"/>
              <w:jc w:val="left"/>
              <w:rPr>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7A2731F4">
            <w:pPr>
              <w:spacing w:line="340" w:lineRule="exact"/>
              <w:jc w:val="left"/>
              <w:rPr>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4CB4456A">
            <w:pPr>
              <w:spacing w:line="340" w:lineRule="exact"/>
              <w:jc w:val="left"/>
              <w:rPr>
                <w:sz w:val="24"/>
              </w:rPr>
            </w:pPr>
          </w:p>
        </w:tc>
        <w:tc>
          <w:tcPr>
            <w:tcW w:w="778" w:type="pct"/>
            <w:tcBorders>
              <w:top w:val="single" w:color="auto" w:sz="6" w:space="0"/>
              <w:left w:val="single" w:color="auto" w:sz="6" w:space="0"/>
              <w:bottom w:val="single" w:color="auto" w:sz="6" w:space="0"/>
              <w:right w:val="single" w:color="auto" w:sz="12" w:space="0"/>
            </w:tcBorders>
          </w:tcPr>
          <w:p w14:paraId="3AD7E360">
            <w:pPr>
              <w:spacing w:line="340" w:lineRule="exact"/>
              <w:jc w:val="left"/>
              <w:rPr>
                <w:sz w:val="24"/>
              </w:rPr>
            </w:pPr>
          </w:p>
        </w:tc>
      </w:tr>
    </w:tbl>
    <w:p w14:paraId="7324189B">
      <w:pPr>
        <w:snapToGrid w:val="0"/>
        <w:spacing w:line="300" w:lineRule="auto"/>
        <w:contextualSpacing/>
        <w:rPr>
          <w:rFonts w:eastAsia="仿宋"/>
          <w:b/>
          <w:bCs/>
          <w:sz w:val="28"/>
          <w:szCs w:val="28"/>
        </w:rPr>
      </w:pPr>
      <w:r>
        <w:rPr>
          <w:rFonts w:eastAsia="仿宋"/>
          <w:b/>
          <w:bCs/>
          <w:sz w:val="28"/>
          <w:szCs w:val="28"/>
        </w:rPr>
        <w:t>注：</w:t>
      </w:r>
    </w:p>
    <w:p w14:paraId="4AD0E1F4">
      <w:pPr>
        <w:snapToGrid w:val="0"/>
        <w:spacing w:line="300" w:lineRule="auto"/>
        <w:ind w:firstLine="560" w:firstLineChars="200"/>
        <w:contextualSpacing/>
        <w:rPr>
          <w:rFonts w:ascii="Times New Roman" w:hAnsi="Times New Roman" w:eastAsia="仿宋"/>
          <w:sz w:val="28"/>
          <w:szCs w:val="28"/>
        </w:rPr>
      </w:pPr>
      <w:r>
        <w:rPr>
          <w:rFonts w:ascii="Times New Roman" w:hAnsi="Times New Roman" w:eastAsia="仿宋"/>
          <w:sz w:val="28"/>
          <w:szCs w:val="28"/>
        </w:rPr>
        <w:t>1.未说明偏离的，将被认为响应</w:t>
      </w:r>
      <w:r>
        <w:rPr>
          <w:rFonts w:hint="eastAsia" w:ascii="Times New Roman" w:hAnsi="Times New Roman" w:eastAsia="仿宋"/>
          <w:sz w:val="28"/>
          <w:szCs w:val="28"/>
        </w:rPr>
        <w:t>询价</w:t>
      </w:r>
      <w:r>
        <w:rPr>
          <w:rFonts w:ascii="Times New Roman" w:hAnsi="Times New Roman" w:eastAsia="仿宋"/>
          <w:sz w:val="28"/>
          <w:szCs w:val="28"/>
        </w:rPr>
        <w:t>文件的规定，但该表不作为供应商对所响应内容关于技术部分等详细描述和说明的替代。</w:t>
      </w:r>
    </w:p>
    <w:p w14:paraId="4A7919FE">
      <w:pPr>
        <w:snapToGrid w:val="0"/>
        <w:spacing w:line="300" w:lineRule="auto"/>
        <w:ind w:firstLine="560" w:firstLineChars="200"/>
        <w:contextualSpacing/>
        <w:rPr>
          <w:rFonts w:ascii="Times New Roman" w:hAnsi="Times New Roman" w:eastAsia="仿宋"/>
          <w:sz w:val="28"/>
          <w:szCs w:val="28"/>
        </w:rPr>
      </w:pPr>
      <w:r>
        <w:rPr>
          <w:rFonts w:ascii="Times New Roman" w:hAnsi="Times New Roman" w:eastAsia="仿宋"/>
          <w:sz w:val="28"/>
          <w:szCs w:val="28"/>
        </w:rPr>
        <w:t>2. 如有偏离的，在“偏离说明”一栏选择“正偏离”</w:t>
      </w:r>
      <w:r>
        <w:rPr>
          <w:rFonts w:hint="eastAsia" w:ascii="Times New Roman" w:hAnsi="Times New Roman" w:eastAsia="仿宋"/>
          <w:sz w:val="28"/>
          <w:szCs w:val="28"/>
        </w:rPr>
        <w:t>或者</w:t>
      </w:r>
      <w:r>
        <w:rPr>
          <w:rFonts w:ascii="Times New Roman" w:hAnsi="Times New Roman" w:eastAsia="仿宋"/>
          <w:sz w:val="28"/>
          <w:szCs w:val="28"/>
        </w:rPr>
        <w:t>“负偏离”进行填写。正偏离、负偏离的确认和负偏离的是否响应</w:t>
      </w:r>
      <w:r>
        <w:rPr>
          <w:rFonts w:hint="eastAsia" w:ascii="Times New Roman" w:hAnsi="Times New Roman" w:eastAsia="仿宋"/>
          <w:sz w:val="28"/>
          <w:szCs w:val="28"/>
        </w:rPr>
        <w:t>询价</w:t>
      </w:r>
      <w:r>
        <w:rPr>
          <w:rFonts w:ascii="Times New Roman" w:hAnsi="Times New Roman" w:eastAsia="仿宋"/>
          <w:sz w:val="28"/>
          <w:szCs w:val="28"/>
        </w:rPr>
        <w:t>文件，由</w:t>
      </w:r>
      <w:r>
        <w:rPr>
          <w:rFonts w:hint="eastAsia" w:ascii="Times New Roman" w:hAnsi="Times New Roman" w:eastAsia="仿宋"/>
          <w:sz w:val="28"/>
          <w:szCs w:val="28"/>
        </w:rPr>
        <w:t>询价</w:t>
      </w:r>
      <w:r>
        <w:rPr>
          <w:rFonts w:ascii="Times New Roman" w:hAnsi="Times New Roman" w:eastAsia="仿宋"/>
          <w:sz w:val="28"/>
          <w:szCs w:val="28"/>
        </w:rPr>
        <w:t>小组认定。</w:t>
      </w:r>
    </w:p>
    <w:p w14:paraId="22E702A3">
      <w:pPr>
        <w:snapToGrid w:val="0"/>
        <w:spacing w:line="300" w:lineRule="auto"/>
        <w:ind w:firstLine="560" w:firstLineChars="200"/>
        <w:contextualSpacing/>
        <w:rPr>
          <w:rFonts w:ascii="Times New Roman" w:hAnsi="Times New Roman" w:eastAsia="仿宋"/>
          <w:sz w:val="28"/>
          <w:szCs w:val="28"/>
        </w:rPr>
      </w:pPr>
      <w:r>
        <w:rPr>
          <w:rFonts w:ascii="Times New Roman" w:hAnsi="Times New Roman" w:eastAsia="仿宋"/>
          <w:sz w:val="28"/>
          <w:szCs w:val="28"/>
        </w:rPr>
        <w:t>3.供应商若提供其他增值服务，可以在表中自行据实填写。</w:t>
      </w:r>
    </w:p>
    <w:p w14:paraId="135CE722">
      <w:pPr>
        <w:snapToGrid w:val="0"/>
        <w:spacing w:line="400" w:lineRule="exact"/>
        <w:ind w:firstLine="540" w:firstLineChars="192"/>
        <w:contextualSpacing/>
        <w:rPr>
          <w:b/>
          <w:kern w:val="0"/>
          <w:sz w:val="28"/>
          <w:szCs w:val="28"/>
        </w:rPr>
      </w:pPr>
    </w:p>
    <w:p w14:paraId="6E1BB481">
      <w:pPr>
        <w:snapToGrid w:val="0"/>
        <w:spacing w:line="400" w:lineRule="exact"/>
        <w:ind w:firstLine="540" w:firstLineChars="192"/>
        <w:contextualSpacing/>
        <w:rPr>
          <w:b/>
          <w:kern w:val="0"/>
          <w:sz w:val="28"/>
          <w:szCs w:val="28"/>
        </w:rPr>
      </w:pPr>
    </w:p>
    <w:p w14:paraId="37E898B3">
      <w:pPr>
        <w:snapToGrid w:val="0"/>
        <w:spacing w:line="400" w:lineRule="exact"/>
        <w:ind w:firstLine="540" w:firstLineChars="192"/>
        <w:contextualSpacing/>
        <w:rPr>
          <w:b/>
          <w:kern w:val="0"/>
          <w:sz w:val="28"/>
          <w:szCs w:val="28"/>
        </w:rPr>
      </w:pPr>
    </w:p>
    <w:p w14:paraId="7136CACA">
      <w:pPr>
        <w:snapToGrid w:val="0"/>
        <w:spacing w:line="400" w:lineRule="exact"/>
        <w:ind w:firstLine="540" w:firstLineChars="192"/>
        <w:contextualSpacing/>
        <w:rPr>
          <w:b/>
          <w:kern w:val="0"/>
          <w:sz w:val="28"/>
          <w:szCs w:val="28"/>
        </w:rPr>
      </w:pPr>
    </w:p>
    <w:p w14:paraId="5E0E9753">
      <w:pPr>
        <w:snapToGrid w:val="0"/>
        <w:spacing w:line="300" w:lineRule="auto"/>
        <w:ind w:firstLine="3080" w:firstLineChars="1100"/>
        <w:contextualSpacing/>
        <w:rPr>
          <w:rFonts w:eastAsia="仿宋"/>
          <w:sz w:val="28"/>
          <w:szCs w:val="28"/>
        </w:rPr>
      </w:pPr>
      <w:r>
        <w:rPr>
          <w:rFonts w:hint="eastAsia" w:eastAsia="仿宋"/>
          <w:sz w:val="28"/>
          <w:szCs w:val="28"/>
        </w:rPr>
        <w:t>供应商</w:t>
      </w:r>
      <w:r>
        <w:rPr>
          <w:rFonts w:eastAsia="仿宋"/>
          <w:sz w:val="28"/>
          <w:szCs w:val="28"/>
        </w:rPr>
        <w:t>名称（</w:t>
      </w:r>
      <w:r>
        <w:rPr>
          <w:rFonts w:hint="eastAsia" w:eastAsia="仿宋"/>
          <w:bCs/>
          <w:color w:val="000000"/>
          <w:sz w:val="28"/>
          <w:szCs w:val="28"/>
        </w:rPr>
        <w:t>加盖</w:t>
      </w:r>
      <w:r>
        <w:rPr>
          <w:rFonts w:eastAsia="仿宋"/>
          <w:sz w:val="28"/>
          <w:szCs w:val="28"/>
        </w:rPr>
        <w:t>公章）：</w:t>
      </w:r>
      <w:r>
        <w:rPr>
          <w:rFonts w:eastAsia="仿宋"/>
          <w:sz w:val="28"/>
          <w:szCs w:val="28"/>
          <w:u w:val="single"/>
        </w:rPr>
        <w:t xml:space="preserve">                  </w:t>
      </w:r>
    </w:p>
    <w:p w14:paraId="70D03360">
      <w:pPr>
        <w:snapToGrid w:val="0"/>
        <w:spacing w:line="300" w:lineRule="auto"/>
        <w:ind w:firstLine="3080" w:firstLineChars="1100"/>
        <w:contextualSpacing/>
        <w:rPr>
          <w:rFonts w:eastAsia="方正黑体_GBK"/>
          <w:kern w:val="0"/>
          <w:sz w:val="32"/>
          <w:szCs w:val="32"/>
        </w:rPr>
      </w:pPr>
      <w:r>
        <w:rPr>
          <w:rFonts w:eastAsia="仿宋"/>
          <w:sz w:val="28"/>
          <w:szCs w:val="28"/>
        </w:rPr>
        <w:t>日期：</w:t>
      </w:r>
      <w:r>
        <w:rPr>
          <w:rFonts w:eastAsia="仿宋"/>
          <w:sz w:val="28"/>
          <w:szCs w:val="28"/>
          <w:u w:val="single"/>
        </w:rPr>
        <w:t xml:space="preserve">       </w:t>
      </w:r>
      <w:r>
        <w:rPr>
          <w:rFonts w:eastAsia="仿宋"/>
          <w:sz w:val="28"/>
          <w:szCs w:val="28"/>
        </w:rPr>
        <w:t>年</w:t>
      </w:r>
      <w:r>
        <w:rPr>
          <w:rFonts w:eastAsia="仿宋"/>
          <w:sz w:val="28"/>
          <w:szCs w:val="28"/>
          <w:u w:val="single"/>
        </w:rPr>
        <w:t xml:space="preserve">   </w:t>
      </w:r>
      <w:r>
        <w:rPr>
          <w:rFonts w:eastAsia="仿宋"/>
          <w:sz w:val="28"/>
          <w:szCs w:val="28"/>
        </w:rPr>
        <w:t>月</w:t>
      </w:r>
      <w:r>
        <w:rPr>
          <w:rFonts w:eastAsia="仿宋"/>
          <w:sz w:val="28"/>
          <w:szCs w:val="28"/>
          <w:u w:val="single"/>
        </w:rPr>
        <w:t xml:space="preserve">    </w:t>
      </w:r>
      <w:r>
        <w:rPr>
          <w:rFonts w:eastAsia="仿宋"/>
          <w:sz w:val="28"/>
          <w:szCs w:val="28"/>
        </w:rPr>
        <w:t>日</w:t>
      </w:r>
    </w:p>
    <w:p w14:paraId="7E4FDD1C">
      <w:pPr>
        <w:rPr>
          <w:rFonts w:ascii="Times New Roman" w:hAnsi="Times New Roman" w:eastAsia="方正黑体_GBK"/>
          <w:sz w:val="32"/>
          <w:szCs w:val="32"/>
        </w:rPr>
      </w:pPr>
    </w:p>
    <w:p w14:paraId="0B804368">
      <w:pPr>
        <w:pStyle w:val="3"/>
        <w:rPr>
          <w:rFonts w:hint="eastAsia" w:ascii="宋体" w:hAnsi="宋体" w:cs="宋体"/>
          <w:sz w:val="28"/>
          <w:szCs w:val="28"/>
          <w:u w:val="single"/>
        </w:rPr>
      </w:pPr>
    </w:p>
    <w:p w14:paraId="0905FFAC">
      <w:pPr>
        <w:pStyle w:val="3"/>
        <w:rPr>
          <w:rFonts w:hint="eastAsia" w:ascii="宋体" w:hAnsi="宋体" w:cs="宋体"/>
          <w:sz w:val="28"/>
          <w:szCs w:val="28"/>
          <w:u w:val="single"/>
        </w:rPr>
      </w:pPr>
    </w:p>
    <w:p w14:paraId="1A86755C">
      <w:pPr>
        <w:pStyle w:val="3"/>
        <w:rPr>
          <w:rFonts w:hint="eastAsia" w:ascii="宋体" w:hAnsi="宋体" w:cs="宋体"/>
          <w:sz w:val="28"/>
          <w:szCs w:val="28"/>
          <w:u w:val="single"/>
        </w:rPr>
      </w:pPr>
    </w:p>
    <w:p w14:paraId="47587F96">
      <w:pPr>
        <w:pStyle w:val="3"/>
        <w:rPr>
          <w:rFonts w:hint="eastAsia" w:ascii="宋体" w:hAnsi="宋体" w:cs="宋体"/>
          <w:sz w:val="28"/>
          <w:szCs w:val="28"/>
          <w:u w:val="single"/>
        </w:rPr>
      </w:pPr>
    </w:p>
    <w:p w14:paraId="29FE1FD4">
      <w:pPr>
        <w:pStyle w:val="2"/>
        <w:rPr>
          <w:rFonts w:ascii="宋体" w:hAnsi="宋体" w:eastAsia="仿宋_GB2312" w:cs="宋体"/>
          <w:sz w:val="28"/>
          <w:szCs w:val="28"/>
          <w:u w:val="single"/>
        </w:rPr>
      </w:pPr>
      <w:r>
        <w:rPr>
          <w:rFonts w:hint="eastAsia" w:ascii="仿宋_GB2312" w:eastAsia="仿宋_GB2312"/>
          <w:b/>
          <w:sz w:val="28"/>
        </w:rPr>
        <w:t>附件</w:t>
      </w:r>
      <w:r>
        <w:rPr>
          <w:rFonts w:hint="eastAsia" w:ascii="仿宋_GB2312" w:eastAsia="仿宋_GB2312"/>
          <w:b/>
          <w:sz w:val="28"/>
          <w:lang w:val="en-US" w:eastAsia="zh-CN"/>
        </w:rPr>
        <w:t>六</w:t>
      </w:r>
      <w:r>
        <w:rPr>
          <w:rFonts w:hint="eastAsia" w:ascii="仿宋_GB2312" w:eastAsia="仿宋_GB2312"/>
          <w:b/>
          <w:sz w:val="28"/>
        </w:rPr>
        <w:t>：报价单</w:t>
      </w:r>
    </w:p>
    <w:p w14:paraId="4F805E46">
      <w:pPr>
        <w:jc w:val="center"/>
        <w:rPr>
          <w:rFonts w:ascii="Calibri" w:hAnsi="Calibri" w:eastAsia="宋体" w:cs="Arial"/>
          <w:szCs w:val="21"/>
        </w:rPr>
      </w:pPr>
      <w:r>
        <w:rPr>
          <w:rStyle w:val="41"/>
          <w:rFonts w:hint="eastAsia" w:ascii="宋体" w:hAnsi="宋体" w:cs="宋体"/>
          <w:bCs/>
          <w:sz w:val="30"/>
          <w:szCs w:val="30"/>
          <w:lang w:bidi="ar"/>
        </w:rPr>
        <w:t>启东市英邦小学操场围网采购项目报价单</w:t>
      </w:r>
    </w:p>
    <w:tbl>
      <w:tblPr>
        <w:tblStyle w:val="13"/>
        <w:tblpPr w:leftFromText="180" w:rightFromText="180" w:vertAnchor="text" w:tblpX="-1138" w:tblpY="1"/>
        <w:tblOverlap w:val="never"/>
        <w:tblW w:w="10800" w:type="dxa"/>
        <w:tblInd w:w="0" w:type="dxa"/>
        <w:tblLayout w:type="fixed"/>
        <w:tblCellMar>
          <w:top w:w="0" w:type="dxa"/>
          <w:left w:w="108" w:type="dxa"/>
          <w:bottom w:w="0" w:type="dxa"/>
          <w:right w:w="108" w:type="dxa"/>
        </w:tblCellMar>
      </w:tblPr>
      <w:tblGrid>
        <w:gridCol w:w="740"/>
        <w:gridCol w:w="1670"/>
        <w:gridCol w:w="4910"/>
        <w:gridCol w:w="830"/>
        <w:gridCol w:w="640"/>
        <w:gridCol w:w="1080"/>
        <w:gridCol w:w="930"/>
      </w:tblGrid>
      <w:tr w14:paraId="6BAEDA3A">
        <w:tblPrEx>
          <w:tblCellMar>
            <w:top w:w="0" w:type="dxa"/>
            <w:left w:w="108" w:type="dxa"/>
            <w:bottom w:w="0" w:type="dxa"/>
            <w:right w:w="108" w:type="dxa"/>
          </w:tblCellMar>
        </w:tblPrEx>
        <w:trPr>
          <w:trHeight w:val="280" w:hRule="atLeast"/>
        </w:trPr>
        <w:tc>
          <w:tcPr>
            <w:tcW w:w="740" w:type="dxa"/>
            <w:tcBorders>
              <w:top w:val="single" w:color="auto" w:sz="4" w:space="0"/>
              <w:left w:val="single" w:color="auto" w:sz="4" w:space="0"/>
              <w:bottom w:val="single" w:color="auto" w:sz="4" w:space="0"/>
              <w:right w:val="single" w:color="auto" w:sz="4" w:space="0"/>
            </w:tcBorders>
            <w:noWrap/>
            <w:vAlign w:val="center"/>
          </w:tcPr>
          <w:p w14:paraId="6E13D7F6">
            <w:pPr>
              <w:widowControl/>
              <w:jc w:val="center"/>
              <w:textAlignment w:val="center"/>
              <w:rPr>
                <w:rFonts w:eastAsia="方正仿宋_GBK"/>
                <w:szCs w:val="21"/>
              </w:rPr>
            </w:pPr>
            <w:r>
              <w:rPr>
                <w:rFonts w:hint="eastAsia" w:asciiTheme="minorEastAsia" w:hAnsiTheme="minorEastAsia" w:cstheme="minorEastAsia"/>
                <w:color w:val="000000"/>
                <w:kern w:val="0"/>
                <w:sz w:val="24"/>
                <w:lang w:bidi="ar"/>
              </w:rPr>
              <w:t>序号</w:t>
            </w:r>
          </w:p>
        </w:tc>
        <w:tc>
          <w:tcPr>
            <w:tcW w:w="1670" w:type="dxa"/>
            <w:tcBorders>
              <w:top w:val="single" w:color="auto" w:sz="4" w:space="0"/>
              <w:left w:val="nil"/>
              <w:bottom w:val="single" w:color="auto" w:sz="4" w:space="0"/>
              <w:right w:val="single" w:color="auto" w:sz="4" w:space="0"/>
            </w:tcBorders>
            <w:noWrap/>
            <w:vAlign w:val="center"/>
          </w:tcPr>
          <w:p w14:paraId="4C498CC4">
            <w:pPr>
              <w:widowControl/>
              <w:jc w:val="center"/>
              <w:textAlignment w:val="center"/>
              <w:rPr>
                <w:rFonts w:eastAsia="方正仿宋_GBK"/>
                <w:szCs w:val="21"/>
              </w:rPr>
            </w:pPr>
            <w:r>
              <w:rPr>
                <w:rFonts w:hint="eastAsia" w:asciiTheme="minorEastAsia" w:hAnsiTheme="minorEastAsia" w:cstheme="minorEastAsia"/>
                <w:color w:val="000000"/>
                <w:kern w:val="0"/>
                <w:sz w:val="24"/>
                <w:lang w:bidi="ar"/>
              </w:rPr>
              <w:t>采购物品名称</w:t>
            </w:r>
          </w:p>
        </w:tc>
        <w:tc>
          <w:tcPr>
            <w:tcW w:w="4910" w:type="dxa"/>
            <w:tcBorders>
              <w:top w:val="single" w:color="auto" w:sz="4" w:space="0"/>
              <w:left w:val="nil"/>
              <w:bottom w:val="single" w:color="auto" w:sz="4" w:space="0"/>
              <w:right w:val="single" w:color="auto" w:sz="4" w:space="0"/>
            </w:tcBorders>
            <w:noWrap/>
            <w:vAlign w:val="center"/>
          </w:tcPr>
          <w:p w14:paraId="51EAD551">
            <w:pPr>
              <w:widowControl/>
              <w:jc w:val="center"/>
              <w:textAlignment w:val="center"/>
              <w:rPr>
                <w:rFonts w:eastAsia="方正仿宋_GBK"/>
                <w:szCs w:val="21"/>
              </w:rPr>
            </w:pPr>
            <w:r>
              <w:rPr>
                <w:rFonts w:hint="eastAsia" w:asciiTheme="minorEastAsia" w:hAnsiTheme="minorEastAsia" w:cstheme="minorEastAsia"/>
                <w:color w:val="000000"/>
                <w:kern w:val="0"/>
                <w:sz w:val="24"/>
                <w:lang w:bidi="ar"/>
              </w:rPr>
              <w:t>规格</w:t>
            </w:r>
          </w:p>
        </w:tc>
        <w:tc>
          <w:tcPr>
            <w:tcW w:w="830" w:type="dxa"/>
            <w:tcBorders>
              <w:top w:val="single" w:color="auto" w:sz="4" w:space="0"/>
              <w:left w:val="nil"/>
              <w:bottom w:val="single" w:color="auto" w:sz="4" w:space="0"/>
              <w:right w:val="single" w:color="auto" w:sz="4" w:space="0"/>
            </w:tcBorders>
            <w:noWrap/>
            <w:vAlign w:val="center"/>
          </w:tcPr>
          <w:p w14:paraId="3F6DCCD4">
            <w:pPr>
              <w:widowControl/>
              <w:jc w:val="center"/>
              <w:textAlignment w:val="center"/>
              <w:rPr>
                <w:rFonts w:eastAsia="方正仿宋_GBK"/>
                <w:szCs w:val="21"/>
              </w:rPr>
            </w:pPr>
            <w:r>
              <w:rPr>
                <w:rFonts w:hint="eastAsia" w:asciiTheme="minorEastAsia" w:hAnsiTheme="minorEastAsia" w:cstheme="minorEastAsia"/>
                <w:color w:val="000000"/>
                <w:kern w:val="0"/>
                <w:sz w:val="24"/>
                <w:lang w:bidi="ar"/>
              </w:rPr>
              <w:t>数量</w:t>
            </w:r>
          </w:p>
        </w:tc>
        <w:tc>
          <w:tcPr>
            <w:tcW w:w="640" w:type="dxa"/>
            <w:tcBorders>
              <w:top w:val="single" w:color="auto" w:sz="4" w:space="0"/>
              <w:left w:val="nil"/>
              <w:bottom w:val="single" w:color="auto" w:sz="4" w:space="0"/>
              <w:right w:val="single" w:color="auto" w:sz="4" w:space="0"/>
            </w:tcBorders>
            <w:noWrap/>
            <w:vAlign w:val="center"/>
          </w:tcPr>
          <w:p w14:paraId="1F13CD33">
            <w:pPr>
              <w:widowControl/>
              <w:jc w:val="center"/>
              <w:textAlignment w:val="center"/>
              <w:rPr>
                <w:rFonts w:eastAsia="方正仿宋_GBK"/>
                <w:szCs w:val="21"/>
              </w:rPr>
            </w:pPr>
            <w:r>
              <w:rPr>
                <w:rFonts w:hint="eastAsia" w:asciiTheme="minorEastAsia" w:hAnsiTheme="minorEastAsia" w:cstheme="minorEastAsia"/>
                <w:color w:val="000000"/>
                <w:kern w:val="0"/>
                <w:sz w:val="24"/>
                <w:lang w:bidi="ar"/>
              </w:rPr>
              <w:t>单位</w:t>
            </w:r>
          </w:p>
        </w:tc>
        <w:tc>
          <w:tcPr>
            <w:tcW w:w="1080" w:type="dxa"/>
            <w:tcBorders>
              <w:top w:val="single" w:color="auto" w:sz="4" w:space="0"/>
              <w:left w:val="nil"/>
              <w:bottom w:val="single" w:color="auto" w:sz="4" w:space="0"/>
              <w:right w:val="single" w:color="auto" w:sz="4" w:space="0"/>
            </w:tcBorders>
            <w:noWrap/>
            <w:vAlign w:val="center"/>
          </w:tcPr>
          <w:p w14:paraId="5976271B">
            <w:pPr>
              <w:widowControl/>
              <w:jc w:val="center"/>
              <w:textAlignment w:val="center"/>
              <w:rPr>
                <w:rFonts w:hint="eastAsia" w:asciiTheme="minorEastAsia" w:hAnsiTheme="minorEastAsia" w:eastAsiaTheme="minorEastAsia" w:cstheme="minorEastAsia"/>
                <w:color w:val="000000"/>
                <w:kern w:val="0"/>
                <w:sz w:val="24"/>
                <w:lang w:val="en-US" w:eastAsia="zh-CN" w:bidi="ar"/>
              </w:rPr>
            </w:pPr>
            <w:r>
              <w:rPr>
                <w:rFonts w:hint="eastAsia" w:asciiTheme="minorEastAsia" w:hAnsiTheme="minorEastAsia" w:cstheme="minorEastAsia"/>
                <w:color w:val="000000"/>
                <w:kern w:val="0"/>
                <w:sz w:val="24"/>
                <w:lang w:val="en-US" w:eastAsia="zh-CN" w:bidi="ar"/>
              </w:rPr>
              <w:t>单价</w:t>
            </w:r>
          </w:p>
        </w:tc>
        <w:tc>
          <w:tcPr>
            <w:tcW w:w="930" w:type="dxa"/>
            <w:tcBorders>
              <w:top w:val="single" w:color="auto" w:sz="4" w:space="0"/>
              <w:left w:val="nil"/>
              <w:bottom w:val="single" w:color="auto" w:sz="4" w:space="0"/>
              <w:right w:val="single" w:color="auto" w:sz="4" w:space="0"/>
            </w:tcBorders>
            <w:noWrap/>
            <w:vAlign w:val="center"/>
          </w:tcPr>
          <w:p w14:paraId="7745E84B">
            <w:pPr>
              <w:widowControl/>
              <w:jc w:val="center"/>
              <w:textAlignment w:val="center"/>
              <w:rPr>
                <w:rFonts w:hint="eastAsia" w:asciiTheme="minorEastAsia" w:hAnsiTheme="minorEastAsia" w:eastAsiaTheme="minorEastAsia" w:cstheme="minorEastAsia"/>
                <w:color w:val="000000"/>
                <w:kern w:val="0"/>
                <w:sz w:val="24"/>
                <w:lang w:val="en-US" w:eastAsia="zh-CN" w:bidi="ar"/>
              </w:rPr>
            </w:pPr>
            <w:r>
              <w:rPr>
                <w:rFonts w:hint="eastAsia" w:asciiTheme="minorEastAsia" w:hAnsiTheme="minorEastAsia" w:cstheme="minorEastAsia"/>
                <w:color w:val="000000"/>
                <w:kern w:val="0"/>
                <w:sz w:val="24"/>
                <w:lang w:val="en-US" w:eastAsia="zh-CN" w:bidi="ar"/>
              </w:rPr>
              <w:t>总价</w:t>
            </w:r>
          </w:p>
        </w:tc>
      </w:tr>
      <w:tr w14:paraId="15DD2CCF">
        <w:tblPrEx>
          <w:tblCellMar>
            <w:top w:w="0" w:type="dxa"/>
            <w:left w:w="108" w:type="dxa"/>
            <w:bottom w:w="0" w:type="dxa"/>
            <w:right w:w="108" w:type="dxa"/>
          </w:tblCellMar>
        </w:tblPrEx>
        <w:trPr>
          <w:trHeight w:val="2117" w:hRule="atLeast"/>
        </w:trPr>
        <w:tc>
          <w:tcPr>
            <w:tcW w:w="740" w:type="dxa"/>
            <w:tcBorders>
              <w:top w:val="nil"/>
              <w:left w:val="single" w:color="auto" w:sz="4" w:space="0"/>
              <w:bottom w:val="single" w:color="auto" w:sz="4" w:space="0"/>
              <w:right w:val="single" w:color="auto" w:sz="4" w:space="0"/>
            </w:tcBorders>
            <w:noWrap/>
            <w:vAlign w:val="center"/>
          </w:tcPr>
          <w:p w14:paraId="41277354">
            <w:pPr>
              <w:widowControl/>
              <w:jc w:val="right"/>
              <w:textAlignment w:val="center"/>
              <w:rPr>
                <w:rFonts w:eastAsia="方正仿宋_GBK"/>
                <w:szCs w:val="21"/>
              </w:rPr>
            </w:pPr>
            <w:r>
              <w:rPr>
                <w:rFonts w:hint="eastAsia" w:asciiTheme="minorEastAsia" w:hAnsiTheme="minorEastAsia" w:cstheme="minorEastAsia"/>
                <w:color w:val="000000"/>
                <w:kern w:val="0"/>
                <w:sz w:val="24"/>
                <w:lang w:bidi="ar"/>
              </w:rPr>
              <w:t>1</w:t>
            </w:r>
          </w:p>
        </w:tc>
        <w:tc>
          <w:tcPr>
            <w:tcW w:w="1670" w:type="dxa"/>
            <w:tcBorders>
              <w:top w:val="nil"/>
              <w:left w:val="nil"/>
              <w:bottom w:val="single" w:color="auto" w:sz="4" w:space="0"/>
              <w:right w:val="single" w:color="auto" w:sz="4" w:space="0"/>
            </w:tcBorders>
            <w:noWrap/>
            <w:vAlign w:val="center"/>
          </w:tcPr>
          <w:p w14:paraId="6A6D7F5A">
            <w:pPr>
              <w:widowControl/>
              <w:jc w:val="left"/>
              <w:textAlignment w:val="center"/>
              <w:rPr>
                <w:rFonts w:eastAsia="方正仿宋_GBK"/>
                <w:szCs w:val="21"/>
              </w:rPr>
            </w:pPr>
            <w:r>
              <w:rPr>
                <w:rFonts w:hint="eastAsia" w:asciiTheme="minorEastAsia" w:hAnsiTheme="minorEastAsia" w:cstheme="minorEastAsia"/>
                <w:color w:val="000000"/>
                <w:kern w:val="0"/>
                <w:sz w:val="24"/>
                <w:lang w:bidi="ar"/>
              </w:rPr>
              <w:t>球场围网</w:t>
            </w:r>
          </w:p>
        </w:tc>
        <w:tc>
          <w:tcPr>
            <w:tcW w:w="4910" w:type="dxa"/>
            <w:tcBorders>
              <w:top w:val="nil"/>
              <w:left w:val="nil"/>
              <w:bottom w:val="single" w:color="auto" w:sz="4" w:space="0"/>
              <w:right w:val="single" w:color="auto" w:sz="4" w:space="0"/>
            </w:tcBorders>
            <w:noWrap/>
            <w:vAlign w:val="center"/>
          </w:tcPr>
          <w:p w14:paraId="4FB69343">
            <w:pPr>
              <w:widowControl/>
              <w:jc w:val="left"/>
              <w:textAlignment w:val="center"/>
              <w:rPr>
                <w:rFonts w:eastAsia="方正仿宋_GBK"/>
                <w:szCs w:val="21"/>
              </w:rPr>
            </w:pPr>
            <w:r>
              <w:rPr>
                <w:rFonts w:hint="eastAsia" w:asciiTheme="minorEastAsia" w:hAnsiTheme="minorEastAsia" w:cstheme="minorEastAsia"/>
                <w:color w:val="000000"/>
                <w:kern w:val="0"/>
                <w:sz w:val="24"/>
                <w:lang w:bidi="ar"/>
              </w:rPr>
              <w:t>1、围网尺寸：围网整体高度为4米，宽度为3米，适用于大多数标准球场的围栏需求，能够有效确保场地的安全。</w:t>
            </w:r>
            <w:r>
              <w:rPr>
                <w:rFonts w:hint="eastAsia" w:asciiTheme="minorEastAsia" w:hAnsiTheme="minorEastAsia" w:cstheme="minorEastAsia"/>
                <w:color w:val="000000"/>
                <w:kern w:val="0"/>
                <w:sz w:val="24"/>
                <w:lang w:bidi="ar"/>
              </w:rPr>
              <w:br w:type="textWrapping"/>
            </w:r>
            <w:r>
              <w:rPr>
                <w:rFonts w:hint="eastAsia" w:asciiTheme="minorEastAsia" w:hAnsiTheme="minorEastAsia" w:cstheme="minorEastAsia"/>
                <w:color w:val="000000"/>
                <w:kern w:val="0"/>
                <w:sz w:val="24"/>
                <w:lang w:bidi="ar"/>
              </w:rPr>
              <w:t>2、边框材料：围网的边框采用高强度</w:t>
            </w:r>
            <w:r>
              <w:rPr>
                <w:rFonts w:hint="eastAsia" w:asciiTheme="minorEastAsia" w:hAnsiTheme="minorEastAsia" w:cstheme="minorEastAsia"/>
                <w:color w:val="000000"/>
                <w:kern w:val="0"/>
                <w:sz w:val="24"/>
                <w:lang w:val="en-US" w:eastAsia="zh-CN" w:bidi="ar"/>
              </w:rPr>
              <w:t>热</w:t>
            </w:r>
            <w:r>
              <w:rPr>
                <w:rFonts w:hint="eastAsia" w:asciiTheme="minorEastAsia" w:hAnsiTheme="minorEastAsia" w:cstheme="minorEastAsia"/>
                <w:color w:val="000000"/>
                <w:kern w:val="0"/>
                <w:sz w:val="24"/>
                <w:lang w:bidi="ar"/>
              </w:rPr>
              <w:t>镀锌</w:t>
            </w:r>
            <w:r>
              <w:rPr>
                <w:rFonts w:hint="eastAsia" w:asciiTheme="minorEastAsia" w:hAnsiTheme="minorEastAsia" w:cstheme="minorEastAsia"/>
                <w:color w:val="000000"/>
                <w:kern w:val="0"/>
                <w:sz w:val="24"/>
                <w:lang w:val="en-US" w:eastAsia="zh-CN" w:bidi="ar"/>
              </w:rPr>
              <w:t>凹形</w:t>
            </w:r>
            <w:r>
              <w:rPr>
                <w:rFonts w:hint="eastAsia" w:asciiTheme="minorEastAsia" w:hAnsiTheme="minorEastAsia" w:cstheme="minorEastAsia"/>
                <w:color w:val="000000"/>
                <w:kern w:val="0"/>
                <w:sz w:val="24"/>
                <w:lang w:bidi="ar"/>
              </w:rPr>
              <w:t>方管，规格为40mm* 60mm* 2mm。</w:t>
            </w:r>
            <w:r>
              <w:rPr>
                <w:rFonts w:hint="eastAsia" w:asciiTheme="minorEastAsia" w:hAnsiTheme="minorEastAsia" w:cstheme="minorEastAsia"/>
                <w:color w:val="000000"/>
                <w:kern w:val="0"/>
                <w:sz w:val="24"/>
                <w:lang w:val="en-US" w:eastAsia="zh-CN" w:bidi="ar"/>
              </w:rPr>
              <w:t>热</w:t>
            </w:r>
            <w:r>
              <w:rPr>
                <w:rFonts w:hint="eastAsia" w:asciiTheme="minorEastAsia" w:hAnsiTheme="minorEastAsia" w:cstheme="minorEastAsia"/>
                <w:color w:val="000000"/>
                <w:kern w:val="0"/>
                <w:sz w:val="24"/>
                <w:lang w:bidi="ar"/>
              </w:rPr>
              <w:t>镀锌管具有出色的防腐蚀能力，能够在户外环境中长期使用，避免生锈与损坏，确保围网的稳定性和耐用性。</w:t>
            </w:r>
            <w:r>
              <w:rPr>
                <w:rFonts w:hint="eastAsia" w:asciiTheme="minorEastAsia" w:hAnsiTheme="minorEastAsia" w:cstheme="minorEastAsia"/>
                <w:color w:val="000000"/>
                <w:kern w:val="0"/>
                <w:sz w:val="24"/>
                <w:lang w:bidi="ar"/>
              </w:rPr>
              <w:br w:type="textWrapping"/>
            </w:r>
            <w:r>
              <w:rPr>
                <w:rFonts w:hint="eastAsia" w:asciiTheme="minorEastAsia" w:hAnsiTheme="minorEastAsia" w:cstheme="minorEastAsia"/>
                <w:color w:val="000000"/>
                <w:kern w:val="0"/>
                <w:sz w:val="24"/>
                <w:lang w:bidi="ar"/>
              </w:rPr>
              <w:t>3、围网结构：网面采用双夹丝热镀锌焊接网设计，网丝直径为5mm + 5mm + 5mm，具有良好的强度与韧性，能够有效承受外力撞击，防止网面破损或变形。</w:t>
            </w:r>
            <w:r>
              <w:rPr>
                <w:rFonts w:hint="eastAsia" w:asciiTheme="minorEastAsia" w:hAnsiTheme="minorEastAsia" w:cstheme="minorEastAsia"/>
                <w:color w:val="000000"/>
                <w:kern w:val="0"/>
                <w:sz w:val="24"/>
                <w:lang w:bidi="ar"/>
              </w:rPr>
              <w:br w:type="textWrapping"/>
            </w:r>
            <w:r>
              <w:rPr>
                <w:rFonts w:hint="eastAsia" w:asciiTheme="minorEastAsia" w:hAnsiTheme="minorEastAsia" w:cstheme="minorEastAsia"/>
                <w:color w:val="000000"/>
                <w:kern w:val="0"/>
                <w:sz w:val="24"/>
                <w:lang w:bidi="ar"/>
              </w:rPr>
              <w:t>4、网孔尺寸：网孔尺寸为</w:t>
            </w:r>
            <w:r>
              <w:rPr>
                <w:rFonts w:hint="eastAsia" w:asciiTheme="minorEastAsia" w:hAnsiTheme="minorEastAsia" w:cstheme="minorEastAsia"/>
                <w:color w:val="000000"/>
                <w:kern w:val="0"/>
                <w:sz w:val="24"/>
                <w:lang w:val="en-US" w:eastAsia="zh-CN" w:bidi="ar"/>
              </w:rPr>
              <w:t>5.5</w:t>
            </w:r>
            <w:r>
              <w:rPr>
                <w:rFonts w:hint="eastAsia" w:asciiTheme="minorEastAsia" w:hAnsiTheme="minorEastAsia" w:cstheme="minorEastAsia"/>
                <w:color w:val="000000"/>
                <w:kern w:val="0"/>
                <w:sz w:val="24"/>
                <w:lang w:bidi="ar"/>
              </w:rPr>
              <w:t>cm* 20cm，网孔大小合理，既能确保视野通透，又能有效防止物体或人员穿越，增强安全性。</w:t>
            </w:r>
            <w:r>
              <w:rPr>
                <w:rFonts w:hint="eastAsia" w:asciiTheme="minorEastAsia" w:hAnsiTheme="minorEastAsia" w:cstheme="minorEastAsia"/>
                <w:color w:val="000000"/>
                <w:kern w:val="0"/>
                <w:sz w:val="24"/>
                <w:lang w:bidi="ar"/>
              </w:rPr>
              <w:br w:type="textWrapping"/>
            </w:r>
            <w:r>
              <w:rPr>
                <w:rFonts w:hint="eastAsia" w:asciiTheme="minorEastAsia" w:hAnsiTheme="minorEastAsia" w:cstheme="minorEastAsia"/>
                <w:color w:val="000000"/>
                <w:kern w:val="0"/>
                <w:sz w:val="24"/>
                <w:lang w:bidi="ar"/>
              </w:rPr>
              <w:t>5、表面处理：围网表面经过高温静电喷涂处理，颜色为墨绿色。高温静电喷涂可有效提高围网的抗紫外线、抗腐蚀能力，延长使用寿命，同时墨绿色的色调有较好的视觉协调性，适合大多数户外运动场地的环境。</w:t>
            </w:r>
          </w:p>
        </w:tc>
        <w:tc>
          <w:tcPr>
            <w:tcW w:w="830" w:type="dxa"/>
            <w:tcBorders>
              <w:top w:val="nil"/>
              <w:left w:val="nil"/>
              <w:bottom w:val="single" w:color="auto" w:sz="4" w:space="0"/>
              <w:right w:val="single" w:color="auto" w:sz="4" w:space="0"/>
            </w:tcBorders>
            <w:noWrap/>
            <w:vAlign w:val="center"/>
          </w:tcPr>
          <w:p w14:paraId="64AE36C9">
            <w:pPr>
              <w:widowControl/>
              <w:jc w:val="right"/>
              <w:textAlignment w:val="center"/>
              <w:rPr>
                <w:rFonts w:eastAsia="方正仿宋_GBK"/>
                <w:szCs w:val="21"/>
              </w:rPr>
            </w:pPr>
            <w:r>
              <w:rPr>
                <w:rFonts w:hint="eastAsia" w:asciiTheme="minorEastAsia" w:hAnsiTheme="minorEastAsia" w:cstheme="minorEastAsia"/>
                <w:color w:val="000000"/>
                <w:kern w:val="0"/>
                <w:sz w:val="24"/>
                <w:lang w:bidi="ar"/>
              </w:rPr>
              <w:t>1280</w:t>
            </w:r>
          </w:p>
        </w:tc>
        <w:tc>
          <w:tcPr>
            <w:tcW w:w="640" w:type="dxa"/>
            <w:tcBorders>
              <w:top w:val="nil"/>
              <w:left w:val="nil"/>
              <w:bottom w:val="single" w:color="auto" w:sz="4" w:space="0"/>
              <w:right w:val="single" w:color="auto" w:sz="4" w:space="0"/>
            </w:tcBorders>
            <w:noWrap/>
            <w:vAlign w:val="center"/>
          </w:tcPr>
          <w:p w14:paraId="69ADB91A">
            <w:pPr>
              <w:widowControl/>
              <w:jc w:val="left"/>
              <w:textAlignment w:val="center"/>
              <w:rPr>
                <w:rFonts w:eastAsia="方正仿宋_GBK"/>
                <w:szCs w:val="21"/>
              </w:rPr>
            </w:pPr>
            <w:r>
              <w:rPr>
                <w:rFonts w:hint="eastAsia" w:asciiTheme="minorEastAsia" w:hAnsiTheme="minorEastAsia" w:cstheme="minorEastAsia"/>
                <w:color w:val="000000"/>
                <w:kern w:val="0"/>
                <w:sz w:val="24"/>
                <w:lang w:bidi="ar"/>
              </w:rPr>
              <w:t>平方米</w:t>
            </w:r>
          </w:p>
        </w:tc>
        <w:tc>
          <w:tcPr>
            <w:tcW w:w="1080" w:type="dxa"/>
            <w:tcBorders>
              <w:top w:val="nil"/>
              <w:left w:val="nil"/>
              <w:bottom w:val="single" w:color="auto" w:sz="4" w:space="0"/>
              <w:right w:val="single" w:color="auto" w:sz="4" w:space="0"/>
            </w:tcBorders>
            <w:noWrap/>
            <w:vAlign w:val="center"/>
          </w:tcPr>
          <w:p w14:paraId="56D09A34">
            <w:pPr>
              <w:widowControl/>
              <w:jc w:val="left"/>
              <w:textAlignment w:val="center"/>
              <w:rPr>
                <w:rFonts w:hint="eastAsia" w:asciiTheme="minorEastAsia" w:hAnsiTheme="minorEastAsia" w:cstheme="minorEastAsia"/>
                <w:color w:val="000000"/>
                <w:kern w:val="0"/>
                <w:sz w:val="24"/>
                <w:lang w:bidi="ar"/>
              </w:rPr>
            </w:pPr>
          </w:p>
        </w:tc>
        <w:tc>
          <w:tcPr>
            <w:tcW w:w="930" w:type="dxa"/>
            <w:tcBorders>
              <w:top w:val="nil"/>
              <w:left w:val="nil"/>
              <w:bottom w:val="single" w:color="auto" w:sz="4" w:space="0"/>
              <w:right w:val="single" w:color="auto" w:sz="4" w:space="0"/>
            </w:tcBorders>
            <w:noWrap/>
            <w:vAlign w:val="center"/>
          </w:tcPr>
          <w:p w14:paraId="167703C3">
            <w:pPr>
              <w:widowControl/>
              <w:jc w:val="left"/>
              <w:textAlignment w:val="center"/>
              <w:rPr>
                <w:rFonts w:hint="eastAsia" w:asciiTheme="minorEastAsia" w:hAnsiTheme="minorEastAsia" w:cstheme="minorEastAsia"/>
                <w:color w:val="000000"/>
                <w:kern w:val="0"/>
                <w:sz w:val="24"/>
                <w:lang w:bidi="ar"/>
              </w:rPr>
            </w:pPr>
          </w:p>
        </w:tc>
      </w:tr>
      <w:tr w14:paraId="3D54C4CB">
        <w:tblPrEx>
          <w:tblCellMar>
            <w:top w:w="0" w:type="dxa"/>
            <w:left w:w="108" w:type="dxa"/>
            <w:bottom w:w="0" w:type="dxa"/>
            <w:right w:w="108" w:type="dxa"/>
          </w:tblCellMar>
        </w:tblPrEx>
        <w:trPr>
          <w:trHeight w:val="551" w:hRule="atLeast"/>
        </w:trPr>
        <w:tc>
          <w:tcPr>
            <w:tcW w:w="740" w:type="dxa"/>
            <w:tcBorders>
              <w:top w:val="nil"/>
              <w:left w:val="single" w:color="auto" w:sz="4" w:space="0"/>
              <w:bottom w:val="single" w:color="auto" w:sz="4" w:space="0"/>
              <w:right w:val="single" w:color="auto" w:sz="4" w:space="0"/>
            </w:tcBorders>
            <w:noWrap/>
            <w:vAlign w:val="center"/>
          </w:tcPr>
          <w:p w14:paraId="116A8FB5">
            <w:pPr>
              <w:widowControl/>
              <w:jc w:val="right"/>
              <w:textAlignment w:val="center"/>
              <w:rPr>
                <w:rFonts w:eastAsia="方正仿宋_GBK"/>
                <w:szCs w:val="21"/>
              </w:rPr>
            </w:pPr>
            <w:r>
              <w:rPr>
                <w:rFonts w:hint="eastAsia" w:asciiTheme="minorEastAsia" w:hAnsiTheme="minorEastAsia" w:cstheme="minorEastAsia"/>
                <w:color w:val="000000"/>
                <w:sz w:val="24"/>
              </w:rPr>
              <w:t>2</w:t>
            </w:r>
          </w:p>
        </w:tc>
        <w:tc>
          <w:tcPr>
            <w:tcW w:w="1670" w:type="dxa"/>
            <w:tcBorders>
              <w:top w:val="nil"/>
              <w:left w:val="nil"/>
              <w:bottom w:val="single" w:color="auto" w:sz="4" w:space="0"/>
              <w:right w:val="single" w:color="auto" w:sz="4" w:space="0"/>
            </w:tcBorders>
            <w:noWrap/>
            <w:vAlign w:val="center"/>
          </w:tcPr>
          <w:p w14:paraId="7F8CD13D">
            <w:pPr>
              <w:widowControl/>
              <w:jc w:val="left"/>
              <w:textAlignment w:val="center"/>
              <w:rPr>
                <w:rFonts w:eastAsia="方正仿宋_GBK"/>
                <w:szCs w:val="21"/>
              </w:rPr>
            </w:pPr>
            <w:r>
              <w:rPr>
                <w:rFonts w:hint="eastAsia" w:asciiTheme="minorEastAsia" w:hAnsiTheme="minorEastAsia" w:cstheme="minorEastAsia"/>
                <w:color w:val="000000"/>
                <w:kern w:val="0"/>
                <w:sz w:val="24"/>
                <w:lang w:bidi="ar"/>
              </w:rPr>
              <w:t>双开门1</w:t>
            </w:r>
          </w:p>
        </w:tc>
        <w:tc>
          <w:tcPr>
            <w:tcW w:w="4910" w:type="dxa"/>
            <w:tcBorders>
              <w:top w:val="nil"/>
              <w:left w:val="nil"/>
              <w:bottom w:val="single" w:color="auto" w:sz="4" w:space="0"/>
              <w:right w:val="nil"/>
            </w:tcBorders>
            <w:noWrap/>
            <w:vAlign w:val="center"/>
          </w:tcPr>
          <w:p w14:paraId="25F89F92">
            <w:pPr>
              <w:widowControl/>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4"/>
                <w:lang w:bidi="ar"/>
              </w:rPr>
              <w:t>3.</w:t>
            </w:r>
            <w:r>
              <w:rPr>
                <w:rFonts w:hint="eastAsia" w:asciiTheme="minorEastAsia" w:hAnsiTheme="minorEastAsia" w:cstheme="minorEastAsia"/>
                <w:color w:val="000000"/>
                <w:kern w:val="0"/>
                <w:sz w:val="24"/>
                <w:lang w:val="en-US" w:eastAsia="zh-CN" w:bidi="ar"/>
              </w:rPr>
              <w:t>9</w:t>
            </w:r>
            <w:r>
              <w:rPr>
                <w:rFonts w:hint="eastAsia" w:asciiTheme="minorEastAsia" w:hAnsiTheme="minorEastAsia" w:cstheme="minorEastAsia"/>
                <w:color w:val="000000"/>
                <w:kern w:val="0"/>
                <w:sz w:val="24"/>
                <w:lang w:bidi="ar"/>
              </w:rPr>
              <w:t>m</w:t>
            </w:r>
            <w:r>
              <w:rPr>
                <w:rFonts w:hint="eastAsia" w:asciiTheme="minorEastAsia" w:hAnsiTheme="minorEastAsia" w:cstheme="minorEastAsia"/>
                <w:color w:val="000000"/>
                <w:kern w:val="0"/>
                <w:sz w:val="24"/>
                <w:lang w:val="en-US" w:eastAsia="zh-CN" w:bidi="ar"/>
              </w:rPr>
              <w:t>*2.88m</w:t>
            </w:r>
            <w:r>
              <w:rPr>
                <w:rFonts w:hint="eastAsia" w:asciiTheme="minorEastAsia" w:hAnsiTheme="minorEastAsia" w:cstheme="minorEastAsia"/>
                <w:color w:val="000000"/>
                <w:kern w:val="0"/>
                <w:sz w:val="24"/>
                <w:lang w:bidi="ar"/>
              </w:rPr>
              <w:t>宽度双开门。</w:t>
            </w:r>
            <w:r>
              <w:rPr>
                <w:rFonts w:hint="eastAsia" w:asciiTheme="minorEastAsia" w:hAnsiTheme="minorEastAsia" w:cstheme="minorEastAsia"/>
                <w:color w:val="000000"/>
                <w:kern w:val="0"/>
                <w:sz w:val="24"/>
                <w:lang w:bidi="ar"/>
              </w:rPr>
              <w:br w:type="textWrapping"/>
            </w:r>
            <w:r>
              <w:rPr>
                <w:rFonts w:hint="eastAsia" w:asciiTheme="minorEastAsia" w:hAnsiTheme="minorEastAsia" w:cstheme="minorEastAsia"/>
                <w:color w:val="000000"/>
                <w:kern w:val="0"/>
                <w:sz w:val="24"/>
                <w:lang w:bidi="ar"/>
              </w:rPr>
              <w:t>1、</w:t>
            </w:r>
            <w:r>
              <w:rPr>
                <w:rFonts w:hint="eastAsia" w:asciiTheme="minorEastAsia" w:hAnsiTheme="minorEastAsia" w:cstheme="minorEastAsia"/>
                <w:color w:val="000000"/>
                <w:kern w:val="0"/>
                <w:sz w:val="21"/>
                <w:szCs w:val="21"/>
                <w:lang w:bidi="ar"/>
              </w:rPr>
              <w:t>门</w:t>
            </w:r>
            <w:r>
              <w:rPr>
                <w:rFonts w:hint="eastAsia" w:asciiTheme="minorEastAsia" w:hAnsiTheme="minorEastAsia" w:cstheme="minorEastAsia"/>
                <w:color w:val="000000"/>
                <w:kern w:val="0"/>
                <w:sz w:val="21"/>
                <w:szCs w:val="21"/>
                <w:lang w:val="en-US" w:eastAsia="zh-CN" w:bidi="ar"/>
              </w:rPr>
              <w:t>内</w:t>
            </w:r>
            <w:r>
              <w:rPr>
                <w:rFonts w:hint="eastAsia" w:asciiTheme="minorEastAsia" w:hAnsiTheme="minorEastAsia" w:cstheme="minorEastAsia"/>
                <w:color w:val="000000"/>
                <w:kern w:val="0"/>
                <w:sz w:val="21"/>
                <w:szCs w:val="21"/>
                <w:lang w:bidi="ar"/>
              </w:rPr>
              <w:t>框采用</w:t>
            </w:r>
            <w:r>
              <w:rPr>
                <w:rFonts w:hint="eastAsia" w:asciiTheme="minorEastAsia" w:hAnsiTheme="minorEastAsia" w:cstheme="minorEastAsia"/>
                <w:color w:val="000000"/>
                <w:kern w:val="0"/>
                <w:sz w:val="21"/>
                <w:szCs w:val="21"/>
                <w:lang w:val="en-US" w:eastAsia="zh-CN" w:bidi="ar"/>
              </w:rPr>
              <w:t>40*80</w:t>
            </w:r>
            <w:r>
              <w:rPr>
                <w:rFonts w:hint="eastAsia" w:asciiTheme="minorEastAsia" w:hAnsiTheme="minorEastAsia" w:cstheme="minorEastAsia"/>
                <w:color w:val="000000"/>
                <w:kern w:val="0"/>
                <w:sz w:val="21"/>
                <w:szCs w:val="21"/>
                <w:lang w:bidi="ar"/>
              </w:rPr>
              <w:t>mm的热镀锌</w:t>
            </w:r>
            <w:r>
              <w:rPr>
                <w:rFonts w:hint="eastAsia" w:asciiTheme="minorEastAsia" w:hAnsiTheme="minorEastAsia" w:cstheme="minorEastAsia"/>
                <w:color w:val="000000"/>
                <w:kern w:val="0"/>
                <w:sz w:val="21"/>
                <w:szCs w:val="21"/>
                <w:lang w:val="en-US" w:eastAsia="zh-CN" w:bidi="ar"/>
              </w:rPr>
              <w:t>方</w:t>
            </w:r>
            <w:r>
              <w:rPr>
                <w:rFonts w:hint="eastAsia" w:asciiTheme="minorEastAsia" w:hAnsiTheme="minorEastAsia" w:cstheme="minorEastAsia"/>
                <w:color w:val="000000"/>
                <w:kern w:val="0"/>
                <w:sz w:val="21"/>
                <w:szCs w:val="21"/>
                <w:lang w:bidi="ar"/>
              </w:rPr>
              <w:t>管，壁厚为3mm。热镀锌处理不仅提高了管材的抗腐蚀性能，确保门框在户外环境中具有更长的使用寿命，同时增强了门框的结构强度和稳定性，防止生锈和磨损。</w:t>
            </w:r>
            <w:r>
              <w:rPr>
                <w:rFonts w:hint="eastAsia" w:asciiTheme="minorEastAsia" w:hAnsiTheme="minorEastAsia" w:cstheme="minorEastAsia"/>
                <w:color w:val="000000"/>
                <w:kern w:val="0"/>
                <w:sz w:val="21"/>
                <w:szCs w:val="21"/>
                <w:lang w:bidi="ar"/>
              </w:rPr>
              <w:br w:type="textWrapping"/>
            </w:r>
            <w:r>
              <w:rPr>
                <w:rFonts w:hint="eastAsia" w:asciiTheme="minorEastAsia" w:hAnsiTheme="minorEastAsia" w:cstheme="minorEastAsia"/>
                <w:color w:val="000000"/>
                <w:kern w:val="0"/>
                <w:sz w:val="21"/>
                <w:szCs w:val="21"/>
                <w:lang w:bidi="ar"/>
              </w:rPr>
              <w:t>2、</w:t>
            </w:r>
            <w:r>
              <w:rPr>
                <w:rFonts w:hint="eastAsia" w:asciiTheme="minorEastAsia" w:hAnsiTheme="minorEastAsia" w:cstheme="minorEastAsia"/>
                <w:color w:val="000000"/>
                <w:kern w:val="0"/>
                <w:sz w:val="21"/>
                <w:szCs w:val="21"/>
                <w:lang w:val="en-US" w:eastAsia="zh-CN" w:bidi="ar"/>
              </w:rPr>
              <w:t>门外框加装80*80mm热镀锌方管，壁厚3mm，门外框净高2880mm</w:t>
            </w:r>
            <w:r>
              <w:rPr>
                <w:rFonts w:hint="eastAsia" w:asciiTheme="minorEastAsia" w:hAnsiTheme="minorEastAsia" w:cstheme="minorEastAsia"/>
                <w:color w:val="000000"/>
                <w:kern w:val="0"/>
                <w:sz w:val="21"/>
                <w:szCs w:val="21"/>
                <w:lang w:bidi="ar"/>
              </w:rPr>
              <w:t>。</w:t>
            </w:r>
            <w:r>
              <w:rPr>
                <w:rFonts w:hint="eastAsia" w:asciiTheme="minorEastAsia" w:hAnsiTheme="minorEastAsia" w:cstheme="minorEastAsia"/>
                <w:color w:val="000000"/>
                <w:kern w:val="0"/>
                <w:sz w:val="21"/>
                <w:szCs w:val="21"/>
                <w:lang w:bidi="ar"/>
              </w:rPr>
              <w:br w:type="textWrapping"/>
            </w:r>
            <w:r>
              <w:rPr>
                <w:rFonts w:hint="eastAsia" w:asciiTheme="minorEastAsia" w:hAnsiTheme="minorEastAsia" w:cstheme="minorEastAsia"/>
                <w:color w:val="000000"/>
                <w:kern w:val="0"/>
                <w:sz w:val="21"/>
                <w:szCs w:val="21"/>
                <w:lang w:bidi="ar"/>
              </w:rPr>
              <w:t>3、表面处理：门框表面经过高温烤漆处理，涂层采用墨绿色，能够提供良好的抗紫外线和耐候性，保证长时间使用后不易褪色，且具有较高的美观性，适配球场等体育场所的整体视觉效果。</w:t>
            </w:r>
          </w:p>
          <w:p w14:paraId="19FCCA16">
            <w:pPr>
              <w:widowControl/>
              <w:jc w:val="left"/>
              <w:textAlignment w:val="center"/>
              <w:rPr>
                <w:rFonts w:eastAsia="方正仿宋_GBK"/>
                <w:szCs w:val="21"/>
              </w:rPr>
            </w:pPr>
            <w:r>
              <w:rPr>
                <w:rFonts w:hint="eastAsia" w:asciiTheme="minorEastAsia" w:hAnsiTheme="minorEastAsia" w:cstheme="minorEastAsia"/>
                <w:color w:val="000000"/>
                <w:kern w:val="0"/>
                <w:sz w:val="21"/>
                <w:szCs w:val="21"/>
                <w:lang w:bidi="ar"/>
              </w:rPr>
              <w:t>4、门锁配置：双开门配备成品门锁，确保门的安全性与可靠性，方便使用者开关门锁，增</w:t>
            </w:r>
            <w:r>
              <w:rPr>
                <w:rFonts w:hint="eastAsia" w:asciiTheme="minorEastAsia" w:hAnsiTheme="minorEastAsia" w:cstheme="minorEastAsia"/>
                <w:color w:val="000000"/>
                <w:kern w:val="0"/>
                <w:sz w:val="24"/>
                <w:lang w:bidi="ar"/>
              </w:rPr>
              <w:t>加了门的安全管理功能。</w:t>
            </w:r>
            <w:r>
              <w:rPr>
                <w:rFonts w:hint="eastAsia" w:asciiTheme="minorEastAsia" w:hAnsiTheme="minorEastAsia" w:cstheme="minorEastAsia"/>
                <w:color w:val="000000"/>
                <w:kern w:val="0"/>
                <w:sz w:val="24"/>
                <w:lang w:bidi="ar"/>
              </w:rPr>
              <w:br w:type="textWrapping"/>
            </w:r>
          </w:p>
        </w:tc>
        <w:tc>
          <w:tcPr>
            <w:tcW w:w="830" w:type="dxa"/>
            <w:tcBorders>
              <w:top w:val="nil"/>
              <w:left w:val="single" w:color="auto" w:sz="4" w:space="0"/>
              <w:bottom w:val="single" w:color="auto" w:sz="4" w:space="0"/>
              <w:right w:val="single" w:color="auto" w:sz="4" w:space="0"/>
            </w:tcBorders>
            <w:noWrap/>
            <w:vAlign w:val="center"/>
          </w:tcPr>
          <w:p w14:paraId="2AAA6D31">
            <w:pPr>
              <w:widowControl/>
              <w:jc w:val="right"/>
              <w:textAlignment w:val="center"/>
              <w:rPr>
                <w:rFonts w:eastAsia="方正仿宋_GBK"/>
                <w:szCs w:val="21"/>
              </w:rPr>
            </w:pPr>
            <w:r>
              <w:rPr>
                <w:rFonts w:hint="eastAsia" w:asciiTheme="minorEastAsia" w:hAnsiTheme="minorEastAsia" w:cstheme="minorEastAsia"/>
                <w:color w:val="000000"/>
                <w:kern w:val="0"/>
                <w:sz w:val="24"/>
                <w:lang w:bidi="ar"/>
              </w:rPr>
              <w:t>1</w:t>
            </w:r>
          </w:p>
        </w:tc>
        <w:tc>
          <w:tcPr>
            <w:tcW w:w="640" w:type="dxa"/>
            <w:tcBorders>
              <w:top w:val="nil"/>
              <w:left w:val="nil"/>
              <w:bottom w:val="single" w:color="auto" w:sz="4" w:space="0"/>
              <w:right w:val="single" w:color="auto" w:sz="4" w:space="0"/>
            </w:tcBorders>
            <w:noWrap/>
            <w:vAlign w:val="center"/>
          </w:tcPr>
          <w:p w14:paraId="2904EF9E">
            <w:pPr>
              <w:widowControl/>
              <w:jc w:val="left"/>
              <w:textAlignment w:val="center"/>
              <w:rPr>
                <w:rFonts w:eastAsia="方正仿宋_GBK"/>
                <w:szCs w:val="21"/>
              </w:rPr>
            </w:pPr>
            <w:r>
              <w:rPr>
                <w:rFonts w:hint="eastAsia" w:asciiTheme="minorEastAsia" w:hAnsiTheme="minorEastAsia" w:cstheme="minorEastAsia"/>
                <w:color w:val="000000"/>
                <w:kern w:val="0"/>
                <w:sz w:val="24"/>
                <w:lang w:bidi="ar"/>
              </w:rPr>
              <w:t>个</w:t>
            </w:r>
          </w:p>
        </w:tc>
        <w:tc>
          <w:tcPr>
            <w:tcW w:w="1080" w:type="dxa"/>
            <w:tcBorders>
              <w:top w:val="nil"/>
              <w:left w:val="nil"/>
              <w:bottom w:val="single" w:color="auto" w:sz="4" w:space="0"/>
              <w:right w:val="single" w:color="auto" w:sz="4" w:space="0"/>
            </w:tcBorders>
            <w:noWrap/>
            <w:vAlign w:val="center"/>
          </w:tcPr>
          <w:p w14:paraId="60ECCC2A">
            <w:pPr>
              <w:widowControl/>
              <w:jc w:val="left"/>
              <w:textAlignment w:val="center"/>
              <w:rPr>
                <w:rFonts w:hint="eastAsia" w:asciiTheme="minorEastAsia" w:hAnsiTheme="minorEastAsia" w:cstheme="minorEastAsia"/>
                <w:color w:val="000000"/>
                <w:kern w:val="0"/>
                <w:sz w:val="24"/>
                <w:lang w:bidi="ar"/>
              </w:rPr>
            </w:pPr>
          </w:p>
        </w:tc>
        <w:tc>
          <w:tcPr>
            <w:tcW w:w="930" w:type="dxa"/>
            <w:tcBorders>
              <w:top w:val="nil"/>
              <w:left w:val="nil"/>
              <w:bottom w:val="single" w:color="auto" w:sz="4" w:space="0"/>
              <w:right w:val="single" w:color="auto" w:sz="4" w:space="0"/>
            </w:tcBorders>
            <w:noWrap/>
            <w:vAlign w:val="center"/>
          </w:tcPr>
          <w:p w14:paraId="736D25AD">
            <w:pPr>
              <w:widowControl/>
              <w:jc w:val="left"/>
              <w:textAlignment w:val="center"/>
              <w:rPr>
                <w:rFonts w:hint="eastAsia" w:asciiTheme="minorEastAsia" w:hAnsiTheme="minorEastAsia" w:cstheme="minorEastAsia"/>
                <w:color w:val="000000"/>
                <w:kern w:val="0"/>
                <w:sz w:val="24"/>
                <w:lang w:bidi="ar"/>
              </w:rPr>
            </w:pPr>
          </w:p>
        </w:tc>
      </w:tr>
      <w:tr w14:paraId="179E74D9">
        <w:tblPrEx>
          <w:tblCellMar>
            <w:top w:w="0" w:type="dxa"/>
            <w:left w:w="108" w:type="dxa"/>
            <w:bottom w:w="0" w:type="dxa"/>
            <w:right w:w="108" w:type="dxa"/>
          </w:tblCellMar>
        </w:tblPrEx>
        <w:trPr>
          <w:trHeight w:val="415" w:hRule="atLeast"/>
        </w:trPr>
        <w:tc>
          <w:tcPr>
            <w:tcW w:w="740" w:type="dxa"/>
            <w:tcBorders>
              <w:top w:val="nil"/>
              <w:left w:val="single" w:color="auto" w:sz="4" w:space="0"/>
              <w:bottom w:val="single" w:color="auto" w:sz="4" w:space="0"/>
              <w:right w:val="single" w:color="auto" w:sz="4" w:space="0"/>
            </w:tcBorders>
            <w:noWrap/>
            <w:vAlign w:val="center"/>
          </w:tcPr>
          <w:p w14:paraId="4AF14668">
            <w:pPr>
              <w:widowControl/>
              <w:jc w:val="right"/>
              <w:textAlignment w:val="center"/>
              <w:rPr>
                <w:rFonts w:eastAsia="方正仿宋_GBK"/>
                <w:szCs w:val="21"/>
              </w:rPr>
            </w:pPr>
            <w:r>
              <w:rPr>
                <w:rFonts w:hint="eastAsia" w:asciiTheme="minorEastAsia" w:hAnsiTheme="minorEastAsia" w:cstheme="minorEastAsia"/>
                <w:color w:val="000000"/>
                <w:sz w:val="24"/>
              </w:rPr>
              <w:t>3</w:t>
            </w:r>
          </w:p>
        </w:tc>
        <w:tc>
          <w:tcPr>
            <w:tcW w:w="1670" w:type="dxa"/>
            <w:tcBorders>
              <w:top w:val="nil"/>
              <w:left w:val="nil"/>
              <w:bottom w:val="single" w:color="auto" w:sz="4" w:space="0"/>
              <w:right w:val="single" w:color="auto" w:sz="4" w:space="0"/>
            </w:tcBorders>
            <w:noWrap/>
            <w:vAlign w:val="center"/>
          </w:tcPr>
          <w:p w14:paraId="0C316DAC">
            <w:pPr>
              <w:widowControl/>
              <w:jc w:val="left"/>
              <w:textAlignment w:val="center"/>
              <w:rPr>
                <w:rFonts w:eastAsia="方正仿宋_GBK"/>
                <w:szCs w:val="21"/>
              </w:rPr>
            </w:pPr>
            <w:r>
              <w:rPr>
                <w:rFonts w:hint="eastAsia" w:asciiTheme="minorEastAsia" w:hAnsiTheme="minorEastAsia" w:cstheme="minorEastAsia"/>
                <w:color w:val="000000"/>
                <w:kern w:val="0"/>
                <w:sz w:val="24"/>
                <w:lang w:bidi="ar"/>
              </w:rPr>
              <w:t>双开门2</w:t>
            </w:r>
          </w:p>
        </w:tc>
        <w:tc>
          <w:tcPr>
            <w:tcW w:w="4910" w:type="dxa"/>
            <w:tcBorders>
              <w:top w:val="nil"/>
              <w:left w:val="nil"/>
              <w:bottom w:val="single" w:color="auto" w:sz="4" w:space="0"/>
              <w:right w:val="single" w:color="auto" w:sz="4" w:space="0"/>
            </w:tcBorders>
            <w:noWrap/>
            <w:vAlign w:val="center"/>
          </w:tcPr>
          <w:p w14:paraId="7CD4CB3F">
            <w:pPr>
              <w:widowControl/>
              <w:jc w:val="left"/>
              <w:textAlignment w:val="center"/>
              <w:rPr>
                <w:rFonts w:hint="eastAsia" w:asciiTheme="minorEastAsia" w:hAnsiTheme="minorEastAsia" w:cstheme="minorEastAsia"/>
                <w:color w:val="000000"/>
                <w:kern w:val="0"/>
                <w:sz w:val="24"/>
                <w:lang w:bidi="ar"/>
              </w:rPr>
            </w:pPr>
            <w:r>
              <w:rPr>
                <w:rFonts w:hint="eastAsia" w:asciiTheme="minorEastAsia" w:hAnsiTheme="minorEastAsia" w:cstheme="minorEastAsia"/>
                <w:color w:val="000000"/>
                <w:kern w:val="0"/>
                <w:sz w:val="24"/>
                <w:lang w:bidi="ar"/>
              </w:rPr>
              <w:t>3.</w:t>
            </w:r>
            <w:r>
              <w:rPr>
                <w:rFonts w:hint="eastAsia" w:asciiTheme="minorEastAsia" w:hAnsiTheme="minorEastAsia" w:cstheme="minorEastAsia"/>
                <w:color w:val="000000"/>
                <w:kern w:val="0"/>
                <w:sz w:val="24"/>
                <w:lang w:val="en-US" w:eastAsia="zh-CN" w:bidi="ar"/>
              </w:rPr>
              <w:t>9</w:t>
            </w:r>
            <w:r>
              <w:rPr>
                <w:rFonts w:hint="eastAsia" w:asciiTheme="minorEastAsia" w:hAnsiTheme="minorEastAsia" w:cstheme="minorEastAsia"/>
                <w:color w:val="000000"/>
                <w:kern w:val="0"/>
                <w:sz w:val="24"/>
                <w:lang w:bidi="ar"/>
              </w:rPr>
              <w:t>m</w:t>
            </w:r>
            <w:r>
              <w:rPr>
                <w:rFonts w:hint="eastAsia" w:asciiTheme="minorEastAsia" w:hAnsiTheme="minorEastAsia" w:cstheme="minorEastAsia"/>
                <w:color w:val="000000"/>
                <w:kern w:val="0"/>
                <w:sz w:val="24"/>
                <w:lang w:val="en-US" w:eastAsia="zh-CN" w:bidi="ar"/>
              </w:rPr>
              <w:t>*2.58m</w:t>
            </w:r>
            <w:r>
              <w:rPr>
                <w:rFonts w:hint="eastAsia" w:asciiTheme="minorEastAsia" w:hAnsiTheme="minorEastAsia" w:cstheme="minorEastAsia"/>
                <w:color w:val="000000"/>
                <w:kern w:val="0"/>
                <w:sz w:val="24"/>
                <w:lang w:bidi="ar"/>
              </w:rPr>
              <w:t>宽度双开门。</w:t>
            </w:r>
            <w:r>
              <w:rPr>
                <w:rFonts w:hint="eastAsia" w:asciiTheme="minorEastAsia" w:hAnsiTheme="minorEastAsia" w:cstheme="minorEastAsia"/>
                <w:color w:val="000000"/>
                <w:kern w:val="0"/>
                <w:sz w:val="24"/>
                <w:lang w:bidi="ar"/>
              </w:rPr>
              <w:br w:type="textWrapping"/>
            </w:r>
            <w:r>
              <w:rPr>
                <w:rFonts w:hint="eastAsia" w:asciiTheme="minorEastAsia" w:hAnsiTheme="minorEastAsia" w:cstheme="minorEastAsia"/>
                <w:color w:val="000000"/>
                <w:kern w:val="0"/>
                <w:sz w:val="24"/>
                <w:lang w:bidi="ar"/>
              </w:rPr>
              <w:t>1、门</w:t>
            </w:r>
            <w:r>
              <w:rPr>
                <w:rFonts w:hint="eastAsia" w:asciiTheme="minorEastAsia" w:hAnsiTheme="minorEastAsia" w:cstheme="minorEastAsia"/>
                <w:color w:val="000000"/>
                <w:kern w:val="0"/>
                <w:sz w:val="24"/>
                <w:lang w:val="en-US" w:eastAsia="zh-CN" w:bidi="ar"/>
              </w:rPr>
              <w:t>内</w:t>
            </w:r>
            <w:r>
              <w:rPr>
                <w:rFonts w:hint="eastAsia" w:asciiTheme="minorEastAsia" w:hAnsiTheme="minorEastAsia" w:cstheme="minorEastAsia"/>
                <w:color w:val="000000"/>
                <w:kern w:val="0"/>
                <w:sz w:val="24"/>
                <w:lang w:bidi="ar"/>
              </w:rPr>
              <w:t>框采用</w:t>
            </w:r>
            <w:r>
              <w:rPr>
                <w:rFonts w:hint="eastAsia" w:asciiTheme="minorEastAsia" w:hAnsiTheme="minorEastAsia" w:cstheme="minorEastAsia"/>
                <w:color w:val="000000"/>
                <w:kern w:val="0"/>
                <w:sz w:val="24"/>
                <w:lang w:val="en-US" w:eastAsia="zh-CN" w:bidi="ar"/>
              </w:rPr>
              <w:t>40*80</w:t>
            </w:r>
            <w:r>
              <w:rPr>
                <w:rFonts w:hint="eastAsia" w:asciiTheme="minorEastAsia" w:hAnsiTheme="minorEastAsia" w:cstheme="minorEastAsia"/>
                <w:color w:val="000000"/>
                <w:kern w:val="0"/>
                <w:sz w:val="24"/>
                <w:lang w:bidi="ar"/>
              </w:rPr>
              <w:t>mm的热镀锌</w:t>
            </w:r>
            <w:r>
              <w:rPr>
                <w:rFonts w:hint="eastAsia" w:asciiTheme="minorEastAsia" w:hAnsiTheme="minorEastAsia" w:cstheme="minorEastAsia"/>
                <w:color w:val="000000"/>
                <w:kern w:val="0"/>
                <w:sz w:val="24"/>
                <w:lang w:val="en-US" w:eastAsia="zh-CN" w:bidi="ar"/>
              </w:rPr>
              <w:t>方</w:t>
            </w:r>
            <w:r>
              <w:rPr>
                <w:rFonts w:hint="eastAsia" w:asciiTheme="minorEastAsia" w:hAnsiTheme="minorEastAsia" w:cstheme="minorEastAsia"/>
                <w:color w:val="000000"/>
                <w:kern w:val="0"/>
                <w:sz w:val="24"/>
                <w:lang w:bidi="ar"/>
              </w:rPr>
              <w:t>管，壁厚为3mm。热镀锌处理不仅提高了管材的抗腐蚀性能，确保门框在户外环境中具有更长的使用寿命，同时增强了门框的结构强度和稳定性，防止生锈和磨损。</w:t>
            </w:r>
            <w:r>
              <w:rPr>
                <w:rFonts w:hint="eastAsia" w:asciiTheme="minorEastAsia" w:hAnsiTheme="minorEastAsia" w:cstheme="minorEastAsia"/>
                <w:color w:val="000000"/>
                <w:kern w:val="0"/>
                <w:sz w:val="24"/>
                <w:lang w:bidi="ar"/>
              </w:rPr>
              <w:br w:type="textWrapping"/>
            </w:r>
            <w:r>
              <w:rPr>
                <w:rFonts w:hint="eastAsia" w:asciiTheme="minorEastAsia" w:hAnsiTheme="minorEastAsia" w:cstheme="minorEastAsia"/>
                <w:color w:val="000000"/>
                <w:kern w:val="0"/>
                <w:sz w:val="24"/>
                <w:lang w:bidi="ar"/>
              </w:rPr>
              <w:t>2、</w:t>
            </w:r>
            <w:r>
              <w:rPr>
                <w:rFonts w:hint="eastAsia" w:asciiTheme="minorEastAsia" w:hAnsiTheme="minorEastAsia" w:cstheme="minorEastAsia"/>
                <w:color w:val="000000"/>
                <w:kern w:val="0"/>
                <w:sz w:val="24"/>
                <w:lang w:val="en-US" w:eastAsia="zh-CN" w:bidi="ar"/>
              </w:rPr>
              <w:t>门外框加装80*80mm热镀锌方管，壁厚3mm，门外框净高2580mm</w:t>
            </w:r>
            <w:r>
              <w:rPr>
                <w:rFonts w:hint="eastAsia" w:asciiTheme="minorEastAsia" w:hAnsiTheme="minorEastAsia" w:cstheme="minorEastAsia"/>
                <w:color w:val="000000"/>
                <w:kern w:val="0"/>
                <w:sz w:val="24"/>
                <w:lang w:bidi="ar"/>
              </w:rPr>
              <w:t>。</w:t>
            </w:r>
            <w:r>
              <w:rPr>
                <w:rFonts w:hint="eastAsia" w:asciiTheme="minorEastAsia" w:hAnsiTheme="minorEastAsia" w:cstheme="minorEastAsia"/>
                <w:color w:val="000000"/>
                <w:kern w:val="0"/>
                <w:sz w:val="24"/>
                <w:lang w:bidi="ar"/>
              </w:rPr>
              <w:br w:type="textWrapping"/>
            </w:r>
            <w:r>
              <w:rPr>
                <w:rFonts w:hint="eastAsia" w:asciiTheme="minorEastAsia" w:hAnsiTheme="minorEastAsia" w:cstheme="minorEastAsia"/>
                <w:color w:val="000000"/>
                <w:kern w:val="0"/>
                <w:sz w:val="24"/>
                <w:lang w:bidi="ar"/>
              </w:rPr>
              <w:t>3、表面处理：门框表面经过高温烤漆处理，涂层采用墨绿色，能够提供良好的抗紫外线和耐候性，保证长时间使用后不易褪色，且具有较高的美观性，适配球场等体育场所的整体视觉效果。</w:t>
            </w:r>
          </w:p>
          <w:p w14:paraId="282017FA">
            <w:pPr>
              <w:widowControl/>
              <w:jc w:val="left"/>
              <w:textAlignment w:val="center"/>
              <w:rPr>
                <w:rFonts w:eastAsia="方正仿宋_GBK"/>
                <w:szCs w:val="21"/>
              </w:rPr>
            </w:pPr>
            <w:r>
              <w:rPr>
                <w:rFonts w:hint="eastAsia" w:asciiTheme="minorEastAsia" w:hAnsiTheme="minorEastAsia" w:cstheme="minorEastAsia"/>
                <w:color w:val="000000"/>
                <w:kern w:val="0"/>
                <w:sz w:val="24"/>
                <w:lang w:bidi="ar"/>
              </w:rPr>
              <w:t>4、门锁配置：双开门配备成品门锁，确保门的安全性与可靠性，方便使用者开关门锁，增加了门的安全管理功能。</w:t>
            </w:r>
            <w:r>
              <w:rPr>
                <w:rFonts w:hint="eastAsia" w:asciiTheme="minorEastAsia" w:hAnsiTheme="minorEastAsia" w:cstheme="minorEastAsia"/>
                <w:color w:val="000000"/>
                <w:kern w:val="0"/>
                <w:sz w:val="24"/>
                <w:lang w:bidi="ar"/>
              </w:rPr>
              <w:br w:type="textWrapping"/>
            </w:r>
          </w:p>
        </w:tc>
        <w:tc>
          <w:tcPr>
            <w:tcW w:w="830" w:type="dxa"/>
            <w:tcBorders>
              <w:top w:val="nil"/>
              <w:left w:val="nil"/>
              <w:bottom w:val="single" w:color="auto" w:sz="4" w:space="0"/>
              <w:right w:val="single" w:color="auto" w:sz="4" w:space="0"/>
            </w:tcBorders>
            <w:noWrap/>
            <w:vAlign w:val="center"/>
          </w:tcPr>
          <w:p w14:paraId="342182E3">
            <w:pPr>
              <w:widowControl/>
              <w:jc w:val="right"/>
              <w:textAlignment w:val="center"/>
              <w:rPr>
                <w:rFonts w:eastAsia="方正仿宋_GBK"/>
                <w:szCs w:val="21"/>
              </w:rPr>
            </w:pPr>
            <w:r>
              <w:rPr>
                <w:rFonts w:hint="eastAsia" w:asciiTheme="minorEastAsia" w:hAnsiTheme="minorEastAsia" w:cstheme="minorEastAsia"/>
                <w:color w:val="000000"/>
                <w:kern w:val="0"/>
                <w:sz w:val="24"/>
                <w:lang w:bidi="ar"/>
              </w:rPr>
              <w:t>1</w:t>
            </w:r>
          </w:p>
        </w:tc>
        <w:tc>
          <w:tcPr>
            <w:tcW w:w="640" w:type="dxa"/>
            <w:tcBorders>
              <w:top w:val="nil"/>
              <w:left w:val="nil"/>
              <w:bottom w:val="single" w:color="auto" w:sz="4" w:space="0"/>
              <w:right w:val="single" w:color="auto" w:sz="4" w:space="0"/>
            </w:tcBorders>
            <w:noWrap/>
            <w:vAlign w:val="center"/>
          </w:tcPr>
          <w:p w14:paraId="7D8A0FE3">
            <w:pPr>
              <w:widowControl/>
              <w:jc w:val="left"/>
              <w:textAlignment w:val="center"/>
              <w:rPr>
                <w:rFonts w:eastAsia="方正仿宋_GBK"/>
                <w:szCs w:val="21"/>
              </w:rPr>
            </w:pPr>
            <w:r>
              <w:rPr>
                <w:rFonts w:hint="eastAsia" w:asciiTheme="minorEastAsia" w:hAnsiTheme="minorEastAsia" w:cstheme="minorEastAsia"/>
                <w:color w:val="000000"/>
                <w:kern w:val="0"/>
                <w:sz w:val="24"/>
                <w:lang w:bidi="ar"/>
              </w:rPr>
              <w:t>个</w:t>
            </w:r>
          </w:p>
        </w:tc>
        <w:tc>
          <w:tcPr>
            <w:tcW w:w="1080" w:type="dxa"/>
            <w:tcBorders>
              <w:top w:val="nil"/>
              <w:left w:val="nil"/>
              <w:bottom w:val="single" w:color="auto" w:sz="4" w:space="0"/>
              <w:right w:val="single" w:color="auto" w:sz="4" w:space="0"/>
            </w:tcBorders>
            <w:noWrap/>
            <w:vAlign w:val="center"/>
          </w:tcPr>
          <w:p w14:paraId="30FD18A8">
            <w:pPr>
              <w:widowControl/>
              <w:jc w:val="left"/>
              <w:textAlignment w:val="center"/>
              <w:rPr>
                <w:rFonts w:hint="eastAsia" w:asciiTheme="minorEastAsia" w:hAnsiTheme="minorEastAsia" w:cstheme="minorEastAsia"/>
                <w:color w:val="000000"/>
                <w:kern w:val="0"/>
                <w:sz w:val="24"/>
                <w:lang w:bidi="ar"/>
              </w:rPr>
            </w:pPr>
          </w:p>
        </w:tc>
        <w:tc>
          <w:tcPr>
            <w:tcW w:w="930" w:type="dxa"/>
            <w:tcBorders>
              <w:top w:val="nil"/>
              <w:left w:val="nil"/>
              <w:bottom w:val="single" w:color="auto" w:sz="4" w:space="0"/>
              <w:right w:val="single" w:color="auto" w:sz="4" w:space="0"/>
            </w:tcBorders>
            <w:noWrap/>
            <w:vAlign w:val="center"/>
          </w:tcPr>
          <w:p w14:paraId="1EEFA8F7">
            <w:pPr>
              <w:widowControl/>
              <w:jc w:val="left"/>
              <w:textAlignment w:val="center"/>
              <w:rPr>
                <w:rFonts w:hint="eastAsia" w:asciiTheme="minorEastAsia" w:hAnsiTheme="minorEastAsia" w:cstheme="minorEastAsia"/>
                <w:color w:val="000000"/>
                <w:kern w:val="0"/>
                <w:sz w:val="24"/>
                <w:lang w:bidi="ar"/>
              </w:rPr>
            </w:pPr>
          </w:p>
        </w:tc>
      </w:tr>
      <w:tr w14:paraId="3C604E3C">
        <w:tblPrEx>
          <w:tblCellMar>
            <w:top w:w="0" w:type="dxa"/>
            <w:left w:w="108" w:type="dxa"/>
            <w:bottom w:w="0" w:type="dxa"/>
            <w:right w:w="108" w:type="dxa"/>
          </w:tblCellMar>
        </w:tblPrEx>
        <w:trPr>
          <w:trHeight w:val="520" w:hRule="atLeast"/>
        </w:trPr>
        <w:tc>
          <w:tcPr>
            <w:tcW w:w="740" w:type="dxa"/>
            <w:tcBorders>
              <w:top w:val="nil"/>
              <w:left w:val="single" w:color="auto" w:sz="4" w:space="0"/>
              <w:bottom w:val="nil"/>
              <w:right w:val="single" w:color="auto" w:sz="4" w:space="0"/>
            </w:tcBorders>
            <w:noWrap/>
            <w:vAlign w:val="center"/>
          </w:tcPr>
          <w:p w14:paraId="6F5199C7">
            <w:pPr>
              <w:widowControl/>
              <w:jc w:val="right"/>
              <w:textAlignment w:val="center"/>
              <w:rPr>
                <w:rFonts w:eastAsia="方正仿宋_GBK"/>
                <w:szCs w:val="21"/>
              </w:rPr>
            </w:pPr>
            <w:r>
              <w:rPr>
                <w:rFonts w:hint="eastAsia" w:asciiTheme="minorEastAsia" w:hAnsiTheme="minorEastAsia" w:cstheme="minorEastAsia"/>
                <w:color w:val="000000"/>
                <w:sz w:val="24"/>
              </w:rPr>
              <w:t>4</w:t>
            </w:r>
          </w:p>
        </w:tc>
        <w:tc>
          <w:tcPr>
            <w:tcW w:w="1670" w:type="dxa"/>
            <w:tcBorders>
              <w:top w:val="nil"/>
              <w:left w:val="nil"/>
              <w:bottom w:val="nil"/>
              <w:right w:val="single" w:color="auto" w:sz="4" w:space="0"/>
            </w:tcBorders>
            <w:noWrap/>
            <w:vAlign w:val="center"/>
          </w:tcPr>
          <w:p w14:paraId="53C34CA3">
            <w:pPr>
              <w:widowControl/>
              <w:jc w:val="left"/>
              <w:textAlignment w:val="center"/>
              <w:rPr>
                <w:rFonts w:eastAsia="方正仿宋_GBK"/>
                <w:szCs w:val="21"/>
              </w:rPr>
            </w:pPr>
            <w:r>
              <w:rPr>
                <w:rFonts w:hint="eastAsia" w:asciiTheme="minorEastAsia" w:hAnsiTheme="minorEastAsia" w:cstheme="minorEastAsia"/>
                <w:color w:val="000000"/>
                <w:kern w:val="0"/>
                <w:sz w:val="24"/>
                <w:lang w:bidi="ar"/>
              </w:rPr>
              <w:t>旧立柱翻新</w:t>
            </w:r>
          </w:p>
        </w:tc>
        <w:tc>
          <w:tcPr>
            <w:tcW w:w="4910" w:type="dxa"/>
            <w:tcBorders>
              <w:top w:val="nil"/>
              <w:left w:val="nil"/>
              <w:bottom w:val="nil"/>
              <w:right w:val="nil"/>
            </w:tcBorders>
            <w:noWrap/>
            <w:vAlign w:val="center"/>
          </w:tcPr>
          <w:p w14:paraId="60A5184A">
            <w:pPr>
              <w:widowControl/>
              <w:jc w:val="left"/>
              <w:textAlignment w:val="center"/>
              <w:rPr>
                <w:rFonts w:hint="default" w:eastAsiaTheme="minorEastAsia"/>
                <w:szCs w:val="21"/>
                <w:lang w:val="en-US" w:eastAsia="zh-CN"/>
              </w:rPr>
            </w:pPr>
            <w:r>
              <w:rPr>
                <w:rFonts w:hint="eastAsia" w:asciiTheme="minorEastAsia" w:hAnsiTheme="minorEastAsia" w:cstheme="minorEastAsia"/>
                <w:color w:val="000000"/>
                <w:kern w:val="0"/>
                <w:sz w:val="24"/>
                <w:lang w:bidi="ar"/>
              </w:rPr>
              <w:t>除锈，去爆皮，打磨，外喷漆颜色与围栏颜色保持一致</w:t>
            </w:r>
            <w:r>
              <w:rPr>
                <w:rFonts w:hint="eastAsia" w:asciiTheme="minorEastAsia" w:hAnsiTheme="minorEastAsia" w:cstheme="minorEastAsia"/>
                <w:color w:val="000000"/>
                <w:kern w:val="0"/>
                <w:sz w:val="24"/>
                <w:lang w:eastAsia="zh-CN" w:bidi="ar"/>
              </w:rPr>
              <w:t>，</w:t>
            </w:r>
            <w:r>
              <w:rPr>
                <w:rFonts w:hint="eastAsia" w:asciiTheme="minorEastAsia" w:hAnsiTheme="minorEastAsia" w:cstheme="minorEastAsia"/>
                <w:color w:val="000000" w:themeColor="text1"/>
                <w:kern w:val="0"/>
                <w:sz w:val="24"/>
                <w:highlight w:val="none"/>
                <w:lang w:val="en-US" w:eastAsia="zh-CN" w:bidi="ar"/>
                <w14:textFill>
                  <w14:solidFill>
                    <w14:schemeClr w14:val="tx1"/>
                  </w14:solidFill>
                </w14:textFill>
              </w:rPr>
              <w:t>有部分腐蚀严重的进行修补修复。</w:t>
            </w:r>
          </w:p>
        </w:tc>
        <w:tc>
          <w:tcPr>
            <w:tcW w:w="830" w:type="dxa"/>
            <w:tcBorders>
              <w:top w:val="nil"/>
              <w:left w:val="single" w:color="auto" w:sz="4" w:space="0"/>
              <w:bottom w:val="nil"/>
              <w:right w:val="single" w:color="auto" w:sz="4" w:space="0"/>
            </w:tcBorders>
            <w:noWrap/>
            <w:vAlign w:val="center"/>
          </w:tcPr>
          <w:p w14:paraId="30A94B5C">
            <w:pPr>
              <w:widowControl/>
              <w:jc w:val="right"/>
              <w:textAlignment w:val="center"/>
              <w:rPr>
                <w:rFonts w:eastAsia="方正仿宋_GBK"/>
                <w:szCs w:val="21"/>
              </w:rPr>
            </w:pPr>
            <w:r>
              <w:rPr>
                <w:rFonts w:hint="eastAsia" w:asciiTheme="minorEastAsia" w:hAnsiTheme="minorEastAsia" w:cstheme="minorEastAsia"/>
                <w:color w:val="000000"/>
                <w:sz w:val="24"/>
              </w:rPr>
              <w:t>110</w:t>
            </w:r>
          </w:p>
        </w:tc>
        <w:tc>
          <w:tcPr>
            <w:tcW w:w="640" w:type="dxa"/>
            <w:tcBorders>
              <w:top w:val="nil"/>
              <w:left w:val="nil"/>
              <w:bottom w:val="nil"/>
              <w:right w:val="single" w:color="auto" w:sz="4" w:space="0"/>
            </w:tcBorders>
            <w:noWrap/>
            <w:vAlign w:val="center"/>
          </w:tcPr>
          <w:p w14:paraId="1CC72D8C">
            <w:pPr>
              <w:widowControl/>
              <w:jc w:val="left"/>
              <w:textAlignment w:val="center"/>
              <w:rPr>
                <w:rFonts w:eastAsia="方正仿宋_GBK"/>
                <w:szCs w:val="21"/>
              </w:rPr>
            </w:pPr>
            <w:r>
              <w:rPr>
                <w:rFonts w:hint="eastAsia" w:asciiTheme="minorEastAsia" w:hAnsiTheme="minorEastAsia" w:cstheme="minorEastAsia"/>
                <w:color w:val="000000"/>
                <w:kern w:val="0"/>
                <w:sz w:val="24"/>
                <w:lang w:bidi="ar"/>
              </w:rPr>
              <w:t>根</w:t>
            </w:r>
          </w:p>
        </w:tc>
        <w:tc>
          <w:tcPr>
            <w:tcW w:w="1080" w:type="dxa"/>
            <w:tcBorders>
              <w:top w:val="nil"/>
              <w:left w:val="nil"/>
              <w:bottom w:val="nil"/>
              <w:right w:val="single" w:color="auto" w:sz="4" w:space="0"/>
            </w:tcBorders>
            <w:noWrap/>
            <w:vAlign w:val="center"/>
          </w:tcPr>
          <w:p w14:paraId="5069BC9D">
            <w:pPr>
              <w:widowControl/>
              <w:jc w:val="left"/>
              <w:textAlignment w:val="center"/>
              <w:rPr>
                <w:rFonts w:hint="eastAsia" w:asciiTheme="minorEastAsia" w:hAnsiTheme="minorEastAsia" w:cstheme="minorEastAsia"/>
                <w:color w:val="000000"/>
                <w:kern w:val="0"/>
                <w:sz w:val="24"/>
                <w:lang w:bidi="ar"/>
              </w:rPr>
            </w:pPr>
          </w:p>
        </w:tc>
        <w:tc>
          <w:tcPr>
            <w:tcW w:w="930" w:type="dxa"/>
            <w:tcBorders>
              <w:top w:val="nil"/>
              <w:left w:val="nil"/>
              <w:bottom w:val="nil"/>
              <w:right w:val="single" w:color="auto" w:sz="4" w:space="0"/>
            </w:tcBorders>
            <w:noWrap/>
            <w:vAlign w:val="center"/>
          </w:tcPr>
          <w:p w14:paraId="004F2D40">
            <w:pPr>
              <w:widowControl/>
              <w:jc w:val="left"/>
              <w:textAlignment w:val="center"/>
              <w:rPr>
                <w:rFonts w:hint="eastAsia" w:asciiTheme="minorEastAsia" w:hAnsiTheme="minorEastAsia" w:cstheme="minorEastAsia"/>
                <w:color w:val="000000"/>
                <w:kern w:val="0"/>
                <w:sz w:val="24"/>
                <w:lang w:bidi="ar"/>
              </w:rPr>
            </w:pPr>
          </w:p>
        </w:tc>
      </w:tr>
      <w:tr w14:paraId="1F7AE027">
        <w:tblPrEx>
          <w:tblCellMar>
            <w:top w:w="0" w:type="dxa"/>
            <w:left w:w="108" w:type="dxa"/>
            <w:bottom w:w="0" w:type="dxa"/>
            <w:right w:w="108" w:type="dxa"/>
          </w:tblCellMar>
        </w:tblPrEx>
        <w:trPr>
          <w:trHeight w:val="520" w:hRule="atLeast"/>
        </w:trPr>
        <w:tc>
          <w:tcPr>
            <w:tcW w:w="10800" w:type="dxa"/>
            <w:gridSpan w:val="7"/>
            <w:tcBorders>
              <w:top w:val="nil"/>
              <w:left w:val="single" w:color="auto" w:sz="4" w:space="0"/>
              <w:bottom w:val="single" w:color="auto" w:sz="4" w:space="0"/>
              <w:right w:val="single" w:color="auto" w:sz="4" w:space="0"/>
            </w:tcBorders>
            <w:noWrap/>
            <w:vAlign w:val="center"/>
          </w:tcPr>
          <w:p w14:paraId="2F553E56">
            <w:pPr>
              <w:widowControl/>
              <w:jc w:val="center"/>
              <w:textAlignment w:val="center"/>
              <w:rPr>
                <w:rFonts w:hint="default" w:asciiTheme="minorEastAsia" w:hAnsiTheme="minorEastAsia" w:eastAsiaTheme="minorEastAsia" w:cstheme="minorEastAsia"/>
                <w:color w:val="000000"/>
                <w:kern w:val="0"/>
                <w:sz w:val="24"/>
                <w:lang w:val="en-US" w:eastAsia="zh-CN" w:bidi="ar"/>
              </w:rPr>
            </w:pPr>
            <w:r>
              <w:rPr>
                <w:rFonts w:hint="eastAsia" w:asciiTheme="minorEastAsia" w:hAnsiTheme="minorEastAsia" w:cstheme="minorEastAsia"/>
                <w:color w:val="000000"/>
                <w:kern w:val="0"/>
                <w:sz w:val="24"/>
                <w:lang w:val="en-US" w:eastAsia="zh-CN" w:bidi="ar"/>
              </w:rPr>
              <w:t>总价：            元（大写：                     ）</w:t>
            </w:r>
          </w:p>
        </w:tc>
      </w:tr>
    </w:tbl>
    <w:p w14:paraId="1CA5E756">
      <w:pPr>
        <w:numPr>
          <w:ilvl w:val="0"/>
          <w:numId w:val="0"/>
        </w:numPr>
        <w:spacing w:line="480" w:lineRule="exact"/>
        <w:rPr>
          <w:color w:val="000000" w:themeColor="text1"/>
          <w:sz w:val="24"/>
          <w:szCs w:val="24"/>
          <w14:textFill>
            <w14:solidFill>
              <w14:schemeClr w14:val="tx1"/>
            </w14:solidFill>
          </w14:textFill>
        </w:rPr>
      </w:pPr>
    </w:p>
    <w:p w14:paraId="6417E040">
      <w:pPr>
        <w:rPr>
          <w:rFonts w:ascii="Calibri" w:hAnsi="Calibri" w:eastAsia="宋体" w:cs="Arial"/>
          <w:szCs w:val="21"/>
        </w:rPr>
      </w:pPr>
      <w:r>
        <w:rPr>
          <w:rFonts w:ascii="Calibri" w:hAnsi="Calibri" w:eastAsia="宋体" w:cs="Arial"/>
          <w:szCs w:val="21"/>
          <w:lang w:bidi="ar"/>
        </w:rPr>
        <w:t xml:space="preserve"> </w:t>
      </w:r>
    </w:p>
    <w:p w14:paraId="0FA4DD5D">
      <w:pPr>
        <w:rPr>
          <w:rFonts w:ascii="Calibri" w:hAnsi="Calibri" w:eastAsia="宋体" w:cs="Arial"/>
          <w:szCs w:val="21"/>
        </w:rPr>
      </w:pPr>
      <w:r>
        <w:rPr>
          <w:rFonts w:ascii="Calibri" w:hAnsi="Calibri" w:eastAsia="宋体" w:cs="Arial"/>
          <w:szCs w:val="21"/>
          <w:lang w:bidi="ar"/>
        </w:rPr>
        <w:t xml:space="preserve"> </w:t>
      </w:r>
    </w:p>
    <w:p w14:paraId="78100500">
      <w:pPr>
        <w:spacing w:line="500" w:lineRule="exact"/>
        <w:ind w:firstLine="560" w:firstLineChars="200"/>
        <w:rPr>
          <w:rFonts w:hint="eastAsia" w:ascii="仿宋_GB2312" w:hAnsi="宋体" w:eastAsia="仿宋_GB2312"/>
          <w:sz w:val="28"/>
          <w:szCs w:val="28"/>
          <w:u w:val="single"/>
        </w:rPr>
      </w:pPr>
      <w:r>
        <w:rPr>
          <w:rFonts w:hint="eastAsia" w:ascii="仿宋_GB2312" w:hAnsi="宋体" w:eastAsia="仿宋_GB2312"/>
          <w:sz w:val="28"/>
          <w:szCs w:val="28"/>
          <w:u w:val="single"/>
        </w:rPr>
        <w:t>本报价表须机打并加盖报价单位公章，手填无效。</w:t>
      </w:r>
    </w:p>
    <w:p w14:paraId="45790B03">
      <w:pPr>
        <w:spacing w:line="5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报价单位盖章：</w:t>
      </w:r>
    </w:p>
    <w:p w14:paraId="58612FC1">
      <w:pPr>
        <w:spacing w:line="5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法定代表人或授权代表签字：</w:t>
      </w:r>
    </w:p>
    <w:p w14:paraId="476A6579">
      <w:pPr>
        <w:spacing w:line="500" w:lineRule="exact"/>
        <w:ind w:firstLine="560" w:firstLineChars="200"/>
        <w:rPr>
          <w:rFonts w:hint="eastAsia" w:ascii="仿宋_GB2312" w:hAnsi="宋体" w:eastAsia="仿宋_GB2312"/>
          <w:sz w:val="28"/>
          <w:szCs w:val="28"/>
          <w:lang w:val="en-US" w:eastAsia="zh-CN"/>
        </w:rPr>
      </w:pPr>
      <w:r>
        <w:rPr>
          <w:rFonts w:hint="eastAsia" w:ascii="仿宋_GB2312" w:hAnsi="宋体" w:eastAsia="仿宋_GB2312"/>
          <w:sz w:val="28"/>
          <w:szCs w:val="28"/>
        </w:rPr>
        <w:t>日期：</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黑体_GBK">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AAD3A">
    <w:pPr>
      <w:pStyle w:val="7"/>
      <w:jc w:val="center"/>
    </w:pPr>
    <w:r>
      <w:fldChar w:fldCharType="begin"/>
    </w:r>
    <w:r>
      <w:instrText xml:space="preserve"> PAGE   \* MERGEFORMAT </w:instrText>
    </w:r>
    <w:r>
      <w:fldChar w:fldCharType="separate"/>
    </w:r>
    <w:r>
      <w:rPr>
        <w:lang w:val="zh-CN"/>
      </w:rPr>
      <w:t>16</w:t>
    </w:r>
    <w:r>
      <w:fldChar w:fldCharType="end"/>
    </w:r>
  </w:p>
  <w:p w14:paraId="3B8441CC">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FA61D">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D13902"/>
    <w:multiLevelType w:val="singleLevel"/>
    <w:tmpl w:val="F1D13902"/>
    <w:lvl w:ilvl="0" w:tentative="0">
      <w:start w:val="3"/>
      <w:numFmt w:val="decimal"/>
      <w:suff w:val="nothing"/>
      <w:lvlText w:val="%1、"/>
      <w:lvlJc w:val="left"/>
    </w:lvl>
  </w:abstractNum>
  <w:abstractNum w:abstractNumId="1">
    <w:nsid w:val="FCC15E97"/>
    <w:multiLevelType w:val="singleLevel"/>
    <w:tmpl w:val="FCC15E97"/>
    <w:lvl w:ilvl="0" w:tentative="0">
      <w:start w:val="1"/>
      <w:numFmt w:val="chineseCounting"/>
      <w:suff w:val="nothing"/>
      <w:lvlText w:val="%1、"/>
      <w:lvlJc w:val="left"/>
      <w:rPr>
        <w:rFonts w:hint="eastAsia"/>
      </w:rPr>
    </w:lvl>
  </w:abstractNum>
  <w:abstractNum w:abstractNumId="2">
    <w:nsid w:val="4B255D7E"/>
    <w:multiLevelType w:val="singleLevel"/>
    <w:tmpl w:val="4B255D7E"/>
    <w:lvl w:ilvl="0" w:tentative="0">
      <w:start w:val="8"/>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5MGRmMDNlYTI5NmZkMzk0YWVhMmM4N2FlYjM0NjkifQ=="/>
  </w:docVars>
  <w:rsids>
    <w:rsidRoot w:val="389C3BB0"/>
    <w:rsid w:val="00053063"/>
    <w:rsid w:val="0006405F"/>
    <w:rsid w:val="00073D35"/>
    <w:rsid w:val="000806B2"/>
    <w:rsid w:val="00085708"/>
    <w:rsid w:val="00091B9E"/>
    <w:rsid w:val="000A22DE"/>
    <w:rsid w:val="000B08C6"/>
    <w:rsid w:val="000D00DE"/>
    <w:rsid w:val="000F1FBD"/>
    <w:rsid w:val="00107215"/>
    <w:rsid w:val="00121E8D"/>
    <w:rsid w:val="00122E65"/>
    <w:rsid w:val="0014788E"/>
    <w:rsid w:val="00176227"/>
    <w:rsid w:val="001C3D7E"/>
    <w:rsid w:val="001D1CAF"/>
    <w:rsid w:val="001D70CD"/>
    <w:rsid w:val="001E66DB"/>
    <w:rsid w:val="0021492A"/>
    <w:rsid w:val="00237735"/>
    <w:rsid w:val="002B05A7"/>
    <w:rsid w:val="002F5D0E"/>
    <w:rsid w:val="00322751"/>
    <w:rsid w:val="003363B6"/>
    <w:rsid w:val="00361301"/>
    <w:rsid w:val="003652CE"/>
    <w:rsid w:val="00365C42"/>
    <w:rsid w:val="003821B2"/>
    <w:rsid w:val="003968A1"/>
    <w:rsid w:val="003D09F7"/>
    <w:rsid w:val="003D2B02"/>
    <w:rsid w:val="00401790"/>
    <w:rsid w:val="00404C40"/>
    <w:rsid w:val="00405F13"/>
    <w:rsid w:val="00424AED"/>
    <w:rsid w:val="00471489"/>
    <w:rsid w:val="0047711B"/>
    <w:rsid w:val="004D1447"/>
    <w:rsid w:val="004D409F"/>
    <w:rsid w:val="004E23E2"/>
    <w:rsid w:val="00525BB3"/>
    <w:rsid w:val="00537253"/>
    <w:rsid w:val="0059718F"/>
    <w:rsid w:val="005B1BC0"/>
    <w:rsid w:val="005E31D8"/>
    <w:rsid w:val="006421F1"/>
    <w:rsid w:val="006477D3"/>
    <w:rsid w:val="00653D28"/>
    <w:rsid w:val="006901DD"/>
    <w:rsid w:val="006A252E"/>
    <w:rsid w:val="006A5C22"/>
    <w:rsid w:val="006C2034"/>
    <w:rsid w:val="006E6831"/>
    <w:rsid w:val="006F1F8F"/>
    <w:rsid w:val="00705C36"/>
    <w:rsid w:val="007110B8"/>
    <w:rsid w:val="00746555"/>
    <w:rsid w:val="00752778"/>
    <w:rsid w:val="00784622"/>
    <w:rsid w:val="00787E69"/>
    <w:rsid w:val="007B679A"/>
    <w:rsid w:val="007D42AD"/>
    <w:rsid w:val="007E3BEC"/>
    <w:rsid w:val="007F041D"/>
    <w:rsid w:val="00811AEF"/>
    <w:rsid w:val="008239C5"/>
    <w:rsid w:val="008608B6"/>
    <w:rsid w:val="00870748"/>
    <w:rsid w:val="00894CEA"/>
    <w:rsid w:val="008A0D78"/>
    <w:rsid w:val="008A6996"/>
    <w:rsid w:val="009229E0"/>
    <w:rsid w:val="00941683"/>
    <w:rsid w:val="00960342"/>
    <w:rsid w:val="00973FB1"/>
    <w:rsid w:val="00974174"/>
    <w:rsid w:val="00997FED"/>
    <w:rsid w:val="009C0C89"/>
    <w:rsid w:val="00A16DE6"/>
    <w:rsid w:val="00A227F2"/>
    <w:rsid w:val="00A46ABD"/>
    <w:rsid w:val="00A47E40"/>
    <w:rsid w:val="00A5266B"/>
    <w:rsid w:val="00A8110D"/>
    <w:rsid w:val="00A82C79"/>
    <w:rsid w:val="00A93327"/>
    <w:rsid w:val="00AE3134"/>
    <w:rsid w:val="00AF0E6B"/>
    <w:rsid w:val="00AF3838"/>
    <w:rsid w:val="00B37D20"/>
    <w:rsid w:val="00B50DD6"/>
    <w:rsid w:val="00B67301"/>
    <w:rsid w:val="00B718A3"/>
    <w:rsid w:val="00B7513F"/>
    <w:rsid w:val="00B8325E"/>
    <w:rsid w:val="00B95FF3"/>
    <w:rsid w:val="00BB2C6C"/>
    <w:rsid w:val="00BC72BF"/>
    <w:rsid w:val="00BE401F"/>
    <w:rsid w:val="00BF228A"/>
    <w:rsid w:val="00C047C4"/>
    <w:rsid w:val="00C25BB4"/>
    <w:rsid w:val="00C54B1A"/>
    <w:rsid w:val="00C714A9"/>
    <w:rsid w:val="00C93B6B"/>
    <w:rsid w:val="00CB24A4"/>
    <w:rsid w:val="00CF4ACD"/>
    <w:rsid w:val="00D1239E"/>
    <w:rsid w:val="00D17664"/>
    <w:rsid w:val="00D5341B"/>
    <w:rsid w:val="00D53A21"/>
    <w:rsid w:val="00D67E2A"/>
    <w:rsid w:val="00DE4B29"/>
    <w:rsid w:val="00DF387B"/>
    <w:rsid w:val="00E03398"/>
    <w:rsid w:val="00E03DC4"/>
    <w:rsid w:val="00E178AE"/>
    <w:rsid w:val="00E267A2"/>
    <w:rsid w:val="00E8059C"/>
    <w:rsid w:val="00E80872"/>
    <w:rsid w:val="00E8741E"/>
    <w:rsid w:val="00ED0013"/>
    <w:rsid w:val="00F560A1"/>
    <w:rsid w:val="00F8788F"/>
    <w:rsid w:val="00F92439"/>
    <w:rsid w:val="00FB3B14"/>
    <w:rsid w:val="01193193"/>
    <w:rsid w:val="01487ED0"/>
    <w:rsid w:val="01BA40DC"/>
    <w:rsid w:val="021D5051"/>
    <w:rsid w:val="025D22F6"/>
    <w:rsid w:val="027735C4"/>
    <w:rsid w:val="028913B9"/>
    <w:rsid w:val="03207974"/>
    <w:rsid w:val="03AB3528"/>
    <w:rsid w:val="03B9396D"/>
    <w:rsid w:val="03C67983"/>
    <w:rsid w:val="03DE6B5C"/>
    <w:rsid w:val="04002E6A"/>
    <w:rsid w:val="046A2DA2"/>
    <w:rsid w:val="05086981"/>
    <w:rsid w:val="050C33FC"/>
    <w:rsid w:val="054E10B3"/>
    <w:rsid w:val="05B66C8F"/>
    <w:rsid w:val="05F04527"/>
    <w:rsid w:val="064277C0"/>
    <w:rsid w:val="06CC44A9"/>
    <w:rsid w:val="070C236B"/>
    <w:rsid w:val="07A63208"/>
    <w:rsid w:val="080D1F78"/>
    <w:rsid w:val="08530972"/>
    <w:rsid w:val="0854496B"/>
    <w:rsid w:val="085F3149"/>
    <w:rsid w:val="08D95A43"/>
    <w:rsid w:val="08E25FCA"/>
    <w:rsid w:val="09555547"/>
    <w:rsid w:val="096E1204"/>
    <w:rsid w:val="09854EFF"/>
    <w:rsid w:val="09C33933"/>
    <w:rsid w:val="0A10369E"/>
    <w:rsid w:val="0A1C3677"/>
    <w:rsid w:val="0A715091"/>
    <w:rsid w:val="0AA659CA"/>
    <w:rsid w:val="0B5A2A6D"/>
    <w:rsid w:val="0B610F54"/>
    <w:rsid w:val="0B8D4993"/>
    <w:rsid w:val="0C2B3612"/>
    <w:rsid w:val="0C4C7B9F"/>
    <w:rsid w:val="0D1A7D72"/>
    <w:rsid w:val="0DE227B9"/>
    <w:rsid w:val="0E8129AF"/>
    <w:rsid w:val="0EC13D81"/>
    <w:rsid w:val="0EDF073C"/>
    <w:rsid w:val="0EFC09DA"/>
    <w:rsid w:val="0F297B57"/>
    <w:rsid w:val="0F56200F"/>
    <w:rsid w:val="0F605314"/>
    <w:rsid w:val="0FB14393"/>
    <w:rsid w:val="0FF17D36"/>
    <w:rsid w:val="10212E5C"/>
    <w:rsid w:val="106853C4"/>
    <w:rsid w:val="10695056"/>
    <w:rsid w:val="10E2135F"/>
    <w:rsid w:val="115B103B"/>
    <w:rsid w:val="11E11797"/>
    <w:rsid w:val="11E864D1"/>
    <w:rsid w:val="12304FC4"/>
    <w:rsid w:val="1256603B"/>
    <w:rsid w:val="126D56F4"/>
    <w:rsid w:val="12FA107F"/>
    <w:rsid w:val="131C5EF4"/>
    <w:rsid w:val="14610D5C"/>
    <w:rsid w:val="14645374"/>
    <w:rsid w:val="147C578C"/>
    <w:rsid w:val="14C870A7"/>
    <w:rsid w:val="15626394"/>
    <w:rsid w:val="15742B60"/>
    <w:rsid w:val="16104B6B"/>
    <w:rsid w:val="167C0D1B"/>
    <w:rsid w:val="16B33D45"/>
    <w:rsid w:val="16C54BE5"/>
    <w:rsid w:val="16FE2036"/>
    <w:rsid w:val="179F51DD"/>
    <w:rsid w:val="185A66C9"/>
    <w:rsid w:val="196334CE"/>
    <w:rsid w:val="19661630"/>
    <w:rsid w:val="19C95AA0"/>
    <w:rsid w:val="1A7536E0"/>
    <w:rsid w:val="1A967618"/>
    <w:rsid w:val="1ABC29C8"/>
    <w:rsid w:val="1AE12BAE"/>
    <w:rsid w:val="1B3671F5"/>
    <w:rsid w:val="1D4E4FC9"/>
    <w:rsid w:val="1DDB6846"/>
    <w:rsid w:val="1DE053F9"/>
    <w:rsid w:val="1E757399"/>
    <w:rsid w:val="1FD71536"/>
    <w:rsid w:val="20124C69"/>
    <w:rsid w:val="202005FF"/>
    <w:rsid w:val="202D2145"/>
    <w:rsid w:val="20317E07"/>
    <w:rsid w:val="20982162"/>
    <w:rsid w:val="20BD4885"/>
    <w:rsid w:val="20BF5909"/>
    <w:rsid w:val="21D0541B"/>
    <w:rsid w:val="226139CB"/>
    <w:rsid w:val="227F542A"/>
    <w:rsid w:val="22976793"/>
    <w:rsid w:val="22B673F4"/>
    <w:rsid w:val="23F0378D"/>
    <w:rsid w:val="24087F86"/>
    <w:rsid w:val="246E1512"/>
    <w:rsid w:val="24D82507"/>
    <w:rsid w:val="24DF03AD"/>
    <w:rsid w:val="24EF1A91"/>
    <w:rsid w:val="25026D8B"/>
    <w:rsid w:val="25582AD8"/>
    <w:rsid w:val="25D1256E"/>
    <w:rsid w:val="2656042A"/>
    <w:rsid w:val="26BF660F"/>
    <w:rsid w:val="27155884"/>
    <w:rsid w:val="2722641F"/>
    <w:rsid w:val="286F5314"/>
    <w:rsid w:val="288724DA"/>
    <w:rsid w:val="28903155"/>
    <w:rsid w:val="28D0292D"/>
    <w:rsid w:val="28DD16CF"/>
    <w:rsid w:val="28F345B3"/>
    <w:rsid w:val="28F4546D"/>
    <w:rsid w:val="29373E61"/>
    <w:rsid w:val="29D24420"/>
    <w:rsid w:val="29EF54EF"/>
    <w:rsid w:val="29FF2A20"/>
    <w:rsid w:val="2A0D2502"/>
    <w:rsid w:val="2A141B1F"/>
    <w:rsid w:val="2A255723"/>
    <w:rsid w:val="2A4B2260"/>
    <w:rsid w:val="2B04692C"/>
    <w:rsid w:val="2B086D95"/>
    <w:rsid w:val="2B9A0403"/>
    <w:rsid w:val="2BEE7CC6"/>
    <w:rsid w:val="2C2B4FD9"/>
    <w:rsid w:val="2D1B75CE"/>
    <w:rsid w:val="2DEA0173"/>
    <w:rsid w:val="2E303FA3"/>
    <w:rsid w:val="2EBE00A0"/>
    <w:rsid w:val="2EC44758"/>
    <w:rsid w:val="2ED34F37"/>
    <w:rsid w:val="2EF6139C"/>
    <w:rsid w:val="2F8C3922"/>
    <w:rsid w:val="2F960AD2"/>
    <w:rsid w:val="2FE81154"/>
    <w:rsid w:val="30321157"/>
    <w:rsid w:val="30EE5776"/>
    <w:rsid w:val="3162410A"/>
    <w:rsid w:val="317F45C8"/>
    <w:rsid w:val="32522D0E"/>
    <w:rsid w:val="32AE766F"/>
    <w:rsid w:val="32B01D06"/>
    <w:rsid w:val="332B3991"/>
    <w:rsid w:val="338B3B87"/>
    <w:rsid w:val="346064AD"/>
    <w:rsid w:val="346B76BB"/>
    <w:rsid w:val="34767761"/>
    <w:rsid w:val="347C211B"/>
    <w:rsid w:val="34917FFF"/>
    <w:rsid w:val="34BD284E"/>
    <w:rsid w:val="353E26CD"/>
    <w:rsid w:val="35C157AA"/>
    <w:rsid w:val="36294C0E"/>
    <w:rsid w:val="36C42B50"/>
    <w:rsid w:val="374A198D"/>
    <w:rsid w:val="37952EE1"/>
    <w:rsid w:val="37A462C1"/>
    <w:rsid w:val="37F84127"/>
    <w:rsid w:val="384B62DA"/>
    <w:rsid w:val="385A3221"/>
    <w:rsid w:val="389C3BB0"/>
    <w:rsid w:val="38F63857"/>
    <w:rsid w:val="3942693E"/>
    <w:rsid w:val="394A28BF"/>
    <w:rsid w:val="398F08F7"/>
    <w:rsid w:val="3A100D09"/>
    <w:rsid w:val="3A1E4827"/>
    <w:rsid w:val="3B556E4B"/>
    <w:rsid w:val="3B692645"/>
    <w:rsid w:val="3B797B2C"/>
    <w:rsid w:val="3C580DCB"/>
    <w:rsid w:val="3CBB300D"/>
    <w:rsid w:val="3CFC513B"/>
    <w:rsid w:val="3D3F5E5C"/>
    <w:rsid w:val="3E7EC776"/>
    <w:rsid w:val="3E892C39"/>
    <w:rsid w:val="3F0D1D18"/>
    <w:rsid w:val="3F5A4BCE"/>
    <w:rsid w:val="3F8E594C"/>
    <w:rsid w:val="3F9F0B2C"/>
    <w:rsid w:val="3FE822AE"/>
    <w:rsid w:val="40011B5C"/>
    <w:rsid w:val="40B54450"/>
    <w:rsid w:val="40C512CD"/>
    <w:rsid w:val="418711A3"/>
    <w:rsid w:val="41B46E28"/>
    <w:rsid w:val="423848F5"/>
    <w:rsid w:val="42400617"/>
    <w:rsid w:val="429D3C53"/>
    <w:rsid w:val="42C33222"/>
    <w:rsid w:val="42EB58FE"/>
    <w:rsid w:val="430F352A"/>
    <w:rsid w:val="431B5F54"/>
    <w:rsid w:val="432F1DF9"/>
    <w:rsid w:val="44363673"/>
    <w:rsid w:val="45445A66"/>
    <w:rsid w:val="45766C93"/>
    <w:rsid w:val="45DB18D8"/>
    <w:rsid w:val="46267DB2"/>
    <w:rsid w:val="46565615"/>
    <w:rsid w:val="46FC1742"/>
    <w:rsid w:val="4768585A"/>
    <w:rsid w:val="476D6D9A"/>
    <w:rsid w:val="483F5BCD"/>
    <w:rsid w:val="488C60D3"/>
    <w:rsid w:val="488D1CFC"/>
    <w:rsid w:val="489A5F4E"/>
    <w:rsid w:val="48A76B92"/>
    <w:rsid w:val="49583942"/>
    <w:rsid w:val="49782D55"/>
    <w:rsid w:val="49FC006D"/>
    <w:rsid w:val="4A09183E"/>
    <w:rsid w:val="4B343F58"/>
    <w:rsid w:val="4BAA07D6"/>
    <w:rsid w:val="4D182E46"/>
    <w:rsid w:val="4D2F6F00"/>
    <w:rsid w:val="4D622377"/>
    <w:rsid w:val="4D6E78D6"/>
    <w:rsid w:val="4DA56652"/>
    <w:rsid w:val="4F52254D"/>
    <w:rsid w:val="4F645537"/>
    <w:rsid w:val="4F8E3794"/>
    <w:rsid w:val="504A6FE6"/>
    <w:rsid w:val="50606074"/>
    <w:rsid w:val="5072305D"/>
    <w:rsid w:val="507926B9"/>
    <w:rsid w:val="50F97C0A"/>
    <w:rsid w:val="52220D24"/>
    <w:rsid w:val="525C7162"/>
    <w:rsid w:val="537D1F83"/>
    <w:rsid w:val="53A7411F"/>
    <w:rsid w:val="53D67720"/>
    <w:rsid w:val="54057779"/>
    <w:rsid w:val="543221BE"/>
    <w:rsid w:val="546C2520"/>
    <w:rsid w:val="555B0453"/>
    <w:rsid w:val="556F1201"/>
    <w:rsid w:val="55D3220C"/>
    <w:rsid w:val="563D3BDD"/>
    <w:rsid w:val="56B215C7"/>
    <w:rsid w:val="56D12524"/>
    <w:rsid w:val="56FA1E99"/>
    <w:rsid w:val="572F7A3B"/>
    <w:rsid w:val="575A4CF3"/>
    <w:rsid w:val="57701FF1"/>
    <w:rsid w:val="577A00B7"/>
    <w:rsid w:val="57F42361"/>
    <w:rsid w:val="5806588A"/>
    <w:rsid w:val="5A0F4D95"/>
    <w:rsid w:val="5A5A6404"/>
    <w:rsid w:val="5A937E68"/>
    <w:rsid w:val="5A973DC0"/>
    <w:rsid w:val="5AEC2C91"/>
    <w:rsid w:val="5B17658F"/>
    <w:rsid w:val="5B814662"/>
    <w:rsid w:val="5B9E13AF"/>
    <w:rsid w:val="5C196FB5"/>
    <w:rsid w:val="5C2A3896"/>
    <w:rsid w:val="5CAF7883"/>
    <w:rsid w:val="5CD674DE"/>
    <w:rsid w:val="5D3379B9"/>
    <w:rsid w:val="5D76706C"/>
    <w:rsid w:val="5D8D4095"/>
    <w:rsid w:val="5E1C0AC3"/>
    <w:rsid w:val="5E9133E2"/>
    <w:rsid w:val="5E916B08"/>
    <w:rsid w:val="5EC91722"/>
    <w:rsid w:val="5FB239E8"/>
    <w:rsid w:val="5FC869DC"/>
    <w:rsid w:val="5FEAA398"/>
    <w:rsid w:val="608478A3"/>
    <w:rsid w:val="60933516"/>
    <w:rsid w:val="6097243E"/>
    <w:rsid w:val="60CD7230"/>
    <w:rsid w:val="60E75545"/>
    <w:rsid w:val="618873E9"/>
    <w:rsid w:val="61A17098"/>
    <w:rsid w:val="61FB590F"/>
    <w:rsid w:val="62356F36"/>
    <w:rsid w:val="62C2031F"/>
    <w:rsid w:val="63686B5C"/>
    <w:rsid w:val="6373741F"/>
    <w:rsid w:val="646E406C"/>
    <w:rsid w:val="64F4318E"/>
    <w:rsid w:val="65703943"/>
    <w:rsid w:val="65DF1618"/>
    <w:rsid w:val="65FC60FD"/>
    <w:rsid w:val="66F50E39"/>
    <w:rsid w:val="67AA0090"/>
    <w:rsid w:val="67C423F4"/>
    <w:rsid w:val="67E21DDD"/>
    <w:rsid w:val="67E9760E"/>
    <w:rsid w:val="68A54183"/>
    <w:rsid w:val="68CB3D44"/>
    <w:rsid w:val="6965558A"/>
    <w:rsid w:val="6974172B"/>
    <w:rsid w:val="69A860D8"/>
    <w:rsid w:val="69B051C9"/>
    <w:rsid w:val="69D27D2E"/>
    <w:rsid w:val="6A7124AD"/>
    <w:rsid w:val="6A8B078A"/>
    <w:rsid w:val="6BDDF552"/>
    <w:rsid w:val="6BFB5510"/>
    <w:rsid w:val="6C4C2F2F"/>
    <w:rsid w:val="6C53005D"/>
    <w:rsid w:val="6CB542C8"/>
    <w:rsid w:val="6CF66B24"/>
    <w:rsid w:val="6E323B64"/>
    <w:rsid w:val="6E6E7D88"/>
    <w:rsid w:val="6EA849AA"/>
    <w:rsid w:val="6F024182"/>
    <w:rsid w:val="6FFE65AF"/>
    <w:rsid w:val="7125345A"/>
    <w:rsid w:val="721364CF"/>
    <w:rsid w:val="722D4CD1"/>
    <w:rsid w:val="726575F7"/>
    <w:rsid w:val="729C0C28"/>
    <w:rsid w:val="72DF5FF4"/>
    <w:rsid w:val="73541DA9"/>
    <w:rsid w:val="73612688"/>
    <w:rsid w:val="73C96944"/>
    <w:rsid w:val="743E29B4"/>
    <w:rsid w:val="74EF43B7"/>
    <w:rsid w:val="75462C60"/>
    <w:rsid w:val="75C76884"/>
    <w:rsid w:val="769469AF"/>
    <w:rsid w:val="77084DD7"/>
    <w:rsid w:val="770E393C"/>
    <w:rsid w:val="779755B4"/>
    <w:rsid w:val="785E3C86"/>
    <w:rsid w:val="786F136D"/>
    <w:rsid w:val="788B46CD"/>
    <w:rsid w:val="78A32372"/>
    <w:rsid w:val="78A967A6"/>
    <w:rsid w:val="78EA72BE"/>
    <w:rsid w:val="79AB1689"/>
    <w:rsid w:val="7A1D63EF"/>
    <w:rsid w:val="7A6DC92C"/>
    <w:rsid w:val="7B0B37CD"/>
    <w:rsid w:val="7BE0227E"/>
    <w:rsid w:val="7C39383E"/>
    <w:rsid w:val="7C8025A1"/>
    <w:rsid w:val="7C817F1F"/>
    <w:rsid w:val="7CBF33A9"/>
    <w:rsid w:val="7D651295"/>
    <w:rsid w:val="7D6A6879"/>
    <w:rsid w:val="7D772D8D"/>
    <w:rsid w:val="7D7C6291"/>
    <w:rsid w:val="7D9C2190"/>
    <w:rsid w:val="7DB82F53"/>
    <w:rsid w:val="7DBB2329"/>
    <w:rsid w:val="7E8C09E3"/>
    <w:rsid w:val="7EC90BB0"/>
    <w:rsid w:val="7F076E47"/>
    <w:rsid w:val="7F240531"/>
    <w:rsid w:val="7F240D57"/>
    <w:rsid w:val="7F6B1A46"/>
    <w:rsid w:val="BFF59E6F"/>
    <w:rsid w:val="CEFFD20D"/>
    <w:rsid w:val="FFFD6801"/>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Theme="minorEastAsia" w:cstheme="minorBidi"/>
      <w:kern w:val="2"/>
      <w:sz w:val="21"/>
      <w:szCs w:val="24"/>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34"/>
    <w:qFormat/>
    <w:uiPriority w:val="0"/>
    <w:pPr>
      <w:spacing w:after="120"/>
    </w:pPr>
    <w:rPr>
      <w:rFonts w:ascii="Calibri" w:hAnsi="Calibri" w:eastAsia="宋体" w:cs="Times New Roman"/>
      <w:szCs w:val="22"/>
    </w:rPr>
  </w:style>
  <w:style w:type="paragraph" w:customStyle="1" w:styleId="3">
    <w:name w:val="Default"/>
    <w:qFormat/>
    <w:uiPriority w:val="99"/>
    <w:pPr>
      <w:widowControl w:val="0"/>
      <w:autoSpaceDE w:val="0"/>
      <w:autoSpaceDN w:val="0"/>
      <w:adjustRightInd w:val="0"/>
    </w:pPr>
    <w:rPr>
      <w:rFonts w:ascii="宋体" w:hAnsi="宋体" w:eastAsia="等线" w:cs="宋体"/>
      <w:color w:val="000000"/>
      <w:sz w:val="24"/>
      <w:szCs w:val="24"/>
      <w:lang w:val="en-US" w:eastAsia="zh-CN" w:bidi="ar-SA"/>
    </w:rPr>
  </w:style>
  <w:style w:type="paragraph" w:styleId="4">
    <w:name w:val="Body Text Indent"/>
    <w:basedOn w:val="1"/>
    <w:next w:val="5"/>
    <w:qFormat/>
    <w:uiPriority w:val="99"/>
    <w:pPr>
      <w:ind w:left="480"/>
    </w:pPr>
    <w:rPr>
      <w:sz w:val="24"/>
    </w:rPr>
  </w:style>
  <w:style w:type="paragraph" w:styleId="5">
    <w:name w:val="envelope return"/>
    <w:basedOn w:val="1"/>
    <w:unhideWhenUsed/>
    <w:qFormat/>
    <w:uiPriority w:val="99"/>
    <w:pPr>
      <w:snapToGrid w:val="0"/>
    </w:pPr>
    <w:rPr>
      <w:rFonts w:ascii="Arial" w:hAnsi="Arial"/>
    </w:rPr>
  </w:style>
  <w:style w:type="paragraph" w:styleId="6">
    <w:name w:val="Plain Text"/>
    <w:basedOn w:val="1"/>
    <w:qFormat/>
    <w:uiPriority w:val="0"/>
    <w:rPr>
      <w:rFonts w:ascii="宋体" w:hAnsi="Courier New"/>
      <w:szCs w:val="20"/>
    </w:rPr>
  </w:style>
  <w:style w:type="paragraph" w:styleId="7">
    <w:name w:val="footer"/>
    <w:basedOn w:val="1"/>
    <w:link w:val="30"/>
    <w:qFormat/>
    <w:uiPriority w:val="0"/>
    <w:pPr>
      <w:tabs>
        <w:tab w:val="center" w:pos="4153"/>
        <w:tab w:val="right" w:pos="8306"/>
      </w:tabs>
      <w:snapToGrid w:val="0"/>
      <w:jc w:val="left"/>
    </w:pPr>
    <w:rPr>
      <w:sz w:val="18"/>
      <w:szCs w:val="18"/>
    </w:rPr>
  </w:style>
  <w:style w:type="paragraph" w:styleId="8">
    <w:name w:val="header"/>
    <w:basedOn w:val="1"/>
    <w:link w:val="29"/>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0">
    <w:name w:val="Title"/>
    <w:basedOn w:val="1"/>
    <w:next w:val="1"/>
    <w:link w:val="32"/>
    <w:qFormat/>
    <w:uiPriority w:val="10"/>
    <w:pPr>
      <w:spacing w:before="240" w:after="60"/>
      <w:jc w:val="center"/>
      <w:outlineLvl w:val="0"/>
    </w:pPr>
    <w:rPr>
      <w:rFonts w:ascii="Cambria" w:hAnsi="Cambria" w:eastAsia="宋体" w:cs="Times New Roman"/>
      <w:b/>
      <w:bCs/>
      <w:sz w:val="32"/>
      <w:szCs w:val="32"/>
    </w:rPr>
  </w:style>
  <w:style w:type="paragraph" w:styleId="11">
    <w:name w:val="Body Text First Indent"/>
    <w:basedOn w:val="2"/>
    <w:next w:val="12"/>
    <w:unhideWhenUsed/>
    <w:qFormat/>
    <w:uiPriority w:val="0"/>
    <w:pPr>
      <w:ind w:firstLine="420" w:firstLineChars="100"/>
    </w:pPr>
  </w:style>
  <w:style w:type="paragraph" w:styleId="12">
    <w:name w:val="Body Text First Indent 2"/>
    <w:basedOn w:val="4"/>
    <w:unhideWhenUsed/>
    <w:qFormat/>
    <w:uiPriority w:val="99"/>
    <w:pPr>
      <w:ind w:firstLine="420" w:firstLineChars="200"/>
    </w:p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page number"/>
    <w:basedOn w:val="15"/>
    <w:qFormat/>
    <w:uiPriority w:val="0"/>
  </w:style>
  <w:style w:type="character" w:styleId="18">
    <w:name w:val="FollowedHyperlink"/>
    <w:basedOn w:val="15"/>
    <w:qFormat/>
    <w:uiPriority w:val="0"/>
    <w:rPr>
      <w:color w:val="800080"/>
      <w:u w:val="none"/>
    </w:rPr>
  </w:style>
  <w:style w:type="character" w:styleId="19">
    <w:name w:val="HTML Definition"/>
    <w:basedOn w:val="15"/>
    <w:qFormat/>
    <w:uiPriority w:val="0"/>
  </w:style>
  <w:style w:type="character" w:styleId="20">
    <w:name w:val="HTML Typewriter"/>
    <w:basedOn w:val="15"/>
    <w:qFormat/>
    <w:uiPriority w:val="0"/>
    <w:rPr>
      <w:rFonts w:hint="default" w:ascii="monospace" w:hAnsi="monospace" w:eastAsia="monospace" w:cs="monospace"/>
      <w:sz w:val="20"/>
    </w:rPr>
  </w:style>
  <w:style w:type="character" w:styleId="21">
    <w:name w:val="HTML Acronym"/>
    <w:basedOn w:val="15"/>
    <w:qFormat/>
    <w:uiPriority w:val="0"/>
  </w:style>
  <w:style w:type="character" w:styleId="22">
    <w:name w:val="HTML Variable"/>
    <w:basedOn w:val="15"/>
    <w:qFormat/>
    <w:uiPriority w:val="0"/>
  </w:style>
  <w:style w:type="character" w:styleId="23">
    <w:name w:val="Hyperlink"/>
    <w:basedOn w:val="15"/>
    <w:qFormat/>
    <w:uiPriority w:val="0"/>
    <w:rPr>
      <w:color w:val="0000FF"/>
      <w:u w:val="none"/>
    </w:rPr>
  </w:style>
  <w:style w:type="character" w:styleId="24">
    <w:name w:val="HTML Code"/>
    <w:basedOn w:val="15"/>
    <w:qFormat/>
    <w:uiPriority w:val="0"/>
    <w:rPr>
      <w:rFonts w:hint="default" w:ascii="monospace" w:hAnsi="monospace" w:eastAsia="monospace" w:cs="monospace"/>
      <w:sz w:val="20"/>
    </w:rPr>
  </w:style>
  <w:style w:type="character" w:styleId="25">
    <w:name w:val="HTML Cite"/>
    <w:basedOn w:val="15"/>
    <w:qFormat/>
    <w:uiPriority w:val="0"/>
  </w:style>
  <w:style w:type="character" w:styleId="26">
    <w:name w:val="HTML Keyboard"/>
    <w:basedOn w:val="15"/>
    <w:qFormat/>
    <w:uiPriority w:val="0"/>
    <w:rPr>
      <w:rFonts w:hint="default" w:ascii="monospace" w:hAnsi="monospace" w:eastAsia="monospace" w:cs="monospace"/>
      <w:sz w:val="20"/>
    </w:rPr>
  </w:style>
  <w:style w:type="character" w:styleId="27">
    <w:name w:val="HTML Sample"/>
    <w:basedOn w:val="15"/>
    <w:qFormat/>
    <w:uiPriority w:val="0"/>
    <w:rPr>
      <w:rFonts w:ascii="monospace" w:hAnsi="monospace" w:eastAsia="monospace" w:cs="monospace"/>
    </w:rPr>
  </w:style>
  <w:style w:type="paragraph" w:customStyle="1" w:styleId="28">
    <w:name w:val="列出段落1"/>
    <w:basedOn w:val="1"/>
    <w:qFormat/>
    <w:uiPriority w:val="99"/>
    <w:pPr>
      <w:ind w:firstLine="420" w:firstLineChars="200"/>
    </w:pPr>
  </w:style>
  <w:style w:type="character" w:customStyle="1" w:styleId="29">
    <w:name w:val="页眉 字符"/>
    <w:basedOn w:val="15"/>
    <w:link w:val="8"/>
    <w:qFormat/>
    <w:uiPriority w:val="0"/>
    <w:rPr>
      <w:rFonts w:ascii="Times New Roman" w:hAnsi="Times New Roman" w:eastAsiaTheme="minorEastAsia" w:cstheme="minorBidi"/>
      <w:kern w:val="2"/>
      <w:sz w:val="18"/>
      <w:szCs w:val="18"/>
    </w:rPr>
  </w:style>
  <w:style w:type="character" w:customStyle="1" w:styleId="30">
    <w:name w:val="页脚 字符"/>
    <w:basedOn w:val="15"/>
    <w:link w:val="7"/>
    <w:qFormat/>
    <w:uiPriority w:val="0"/>
    <w:rPr>
      <w:rFonts w:ascii="Times New Roman" w:hAnsi="Times New Roman" w:eastAsiaTheme="minorEastAsia" w:cstheme="minorBidi"/>
      <w:kern w:val="2"/>
      <w:sz w:val="18"/>
      <w:szCs w:val="18"/>
    </w:rPr>
  </w:style>
  <w:style w:type="paragraph" w:customStyle="1" w:styleId="31">
    <w:name w:val="内文"/>
    <w:qFormat/>
    <w:uiPriority w:val="0"/>
    <w:pPr>
      <w:widowControl w:val="0"/>
      <w:autoSpaceDE w:val="0"/>
      <w:autoSpaceDN w:val="0"/>
      <w:adjustRightInd w:val="0"/>
      <w:jc w:val="both"/>
    </w:pPr>
    <w:rPr>
      <w:rFonts w:ascii="宋体" w:hAnsi="Times New Roman" w:eastAsia="宋体" w:cs="Times New Roman"/>
      <w:color w:val="000000"/>
      <w:sz w:val="24"/>
      <w:lang w:val="en-US" w:eastAsia="zh-CN" w:bidi="ar-SA"/>
    </w:rPr>
  </w:style>
  <w:style w:type="character" w:customStyle="1" w:styleId="32">
    <w:name w:val="标题 字符"/>
    <w:link w:val="10"/>
    <w:qFormat/>
    <w:uiPriority w:val="10"/>
    <w:rPr>
      <w:rFonts w:ascii="Cambria" w:hAnsi="Cambria"/>
      <w:b/>
      <w:bCs/>
      <w:kern w:val="2"/>
      <w:sz w:val="32"/>
      <w:szCs w:val="32"/>
    </w:rPr>
  </w:style>
  <w:style w:type="character" w:customStyle="1" w:styleId="33">
    <w:name w:val="标题 Char"/>
    <w:basedOn w:val="15"/>
    <w:qFormat/>
    <w:uiPriority w:val="0"/>
    <w:rPr>
      <w:rFonts w:asciiTheme="majorHAnsi" w:hAnsiTheme="majorHAnsi" w:cstheme="majorBidi"/>
      <w:b/>
      <w:bCs/>
      <w:kern w:val="2"/>
      <w:sz w:val="32"/>
      <w:szCs w:val="32"/>
    </w:rPr>
  </w:style>
  <w:style w:type="character" w:customStyle="1" w:styleId="34">
    <w:name w:val="正文文本 字符"/>
    <w:basedOn w:val="15"/>
    <w:link w:val="2"/>
    <w:qFormat/>
    <w:uiPriority w:val="0"/>
    <w:rPr>
      <w:rFonts w:ascii="Calibri" w:hAnsi="Calibri"/>
      <w:kern w:val="2"/>
      <w:sz w:val="21"/>
      <w:szCs w:val="22"/>
    </w:rPr>
  </w:style>
  <w:style w:type="character" w:customStyle="1" w:styleId="35">
    <w:name w:val="Nor Char"/>
    <w:qFormat/>
    <w:uiPriority w:val="0"/>
    <w:rPr>
      <w:rFonts w:ascii="Arial" w:hAnsi="Arial" w:eastAsia="宋体"/>
      <w:lang w:val="en-GB" w:eastAsia="zh-CN" w:bidi="ar-SA"/>
    </w:rPr>
  </w:style>
  <w:style w:type="character" w:customStyle="1" w:styleId="36">
    <w:name w:val="hover"/>
    <w:basedOn w:val="15"/>
    <w:qFormat/>
    <w:uiPriority w:val="0"/>
    <w:rPr>
      <w:color w:val="5FB878"/>
    </w:rPr>
  </w:style>
  <w:style w:type="character" w:customStyle="1" w:styleId="37">
    <w:name w:val="hover1"/>
    <w:basedOn w:val="15"/>
    <w:qFormat/>
    <w:uiPriority w:val="0"/>
    <w:rPr>
      <w:color w:val="5FB878"/>
    </w:rPr>
  </w:style>
  <w:style w:type="character" w:customStyle="1" w:styleId="38">
    <w:name w:val="hover2"/>
    <w:basedOn w:val="15"/>
    <w:qFormat/>
    <w:uiPriority w:val="0"/>
    <w:rPr>
      <w:color w:val="FFFFFF"/>
    </w:rPr>
  </w:style>
  <w:style w:type="paragraph" w:customStyle="1" w:styleId="39">
    <w:name w:val="表格文字"/>
    <w:basedOn w:val="1"/>
    <w:next w:val="2"/>
    <w:qFormat/>
    <w:uiPriority w:val="0"/>
    <w:pPr>
      <w:autoSpaceDE w:val="0"/>
      <w:autoSpaceDN w:val="0"/>
      <w:spacing w:before="6" w:after="6"/>
    </w:pPr>
    <w:rPr>
      <w:rFonts w:ascii="宋体" w:hAnsi="宋体" w:cs="宋体"/>
      <w:sz w:val="20"/>
      <w:szCs w:val="20"/>
    </w:rPr>
  </w:style>
  <w:style w:type="character" w:customStyle="1" w:styleId="40">
    <w:name w:val="10"/>
    <w:basedOn w:val="15"/>
    <w:qFormat/>
    <w:uiPriority w:val="0"/>
    <w:rPr>
      <w:rFonts w:hint="default" w:ascii="Calibri" w:hAnsi="Calibri" w:cs="Calibri"/>
    </w:rPr>
  </w:style>
  <w:style w:type="character" w:customStyle="1" w:styleId="41">
    <w:name w:val="15"/>
    <w:basedOn w:val="15"/>
    <w:qFormat/>
    <w:uiPriority w:val="0"/>
    <w:rPr>
      <w:rFonts w:hint="default" w:ascii="Times New Roman" w:hAnsi="Times New Roman" w:eastAsia="宋体" w:cs="Times New Roman"/>
      <w:b/>
      <w:sz w:val="21"/>
      <w:szCs w:val="21"/>
    </w:rPr>
  </w:style>
  <w:style w:type="paragraph" w:styleId="4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12</Pages>
  <Words>3985</Words>
  <Characters>4153</Characters>
  <Lines>69</Lines>
  <Paragraphs>156</Paragraphs>
  <TotalTime>4</TotalTime>
  <ScaleCrop>false</ScaleCrop>
  <LinksUpToDate>false</LinksUpToDate>
  <CharactersWithSpaces>4711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2020-06-04T17:36:00Z</dcterms:created>
  <dc:creator>Administrator</dc:creator>
  <cp:lastModifiedBy>爱上老鼠的猫</cp:lastModifiedBy>
  <cp:lastPrinted>2023-09-23T21:27:00Z</cp:lastPrinted>
  <dcterms:modified xsi:type="dcterms:W3CDTF">2026-05-20T02:48:55Z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A872763F435843A792C47E2999154134_13</vt:lpwstr>
  </property>
  <property fmtid="{D5CDD505-2E9C-101B-9397-08002B2CF9AE}" pid="4" name="KSOTemplateDocerSaveRecord">
    <vt:lpwstr>eyJoZGlkIjoiYmVkNTBkMDQxNmNjMmJhMWZiNGY0YTk2ZTgyMWRhN2UiLCJ1c2VySWQiOiIxMDQ2MDQxNzE5In0=</vt:lpwstr>
  </property>
</Properties>
</file>