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B7C81">
      <w:pPr>
        <w:jc w:val="center"/>
        <w:rPr>
          <w:rFonts w:ascii="宋体" w:hAnsi="宋体" w:eastAsia="宋体" w:cs="宋体"/>
          <w:b/>
          <w:color w:val="000000"/>
          <w:sz w:val="28"/>
          <w:szCs w:val="28"/>
        </w:rPr>
      </w:pPr>
      <w:r>
        <w:rPr>
          <w:rFonts w:hint="eastAsia" w:ascii="宋体" w:hAnsi="宋体" w:eastAsia="宋体" w:cs="宋体"/>
          <w:b/>
          <w:color w:val="000000"/>
          <w:sz w:val="28"/>
          <w:szCs w:val="28"/>
          <w:lang w:val="en-US" w:eastAsia="zh-CN"/>
        </w:rPr>
        <w:t>2025年启东市全民健身设施提档升级服务项目</w:t>
      </w:r>
      <w:r>
        <w:rPr>
          <w:rFonts w:hint="eastAsia" w:ascii="宋体" w:hAnsi="宋体" w:eastAsia="宋体" w:cs="宋体"/>
          <w:b/>
          <w:color w:val="000000"/>
          <w:sz w:val="28"/>
          <w:szCs w:val="28"/>
        </w:rPr>
        <w:t>市场询价（调研）公告</w:t>
      </w:r>
    </w:p>
    <w:p w14:paraId="2ADC112D">
      <w:pPr>
        <w:spacing w:line="312" w:lineRule="auto"/>
        <w:ind w:firstLine="480" w:firstLineChars="200"/>
        <w:rPr>
          <w:rFonts w:ascii="宋体" w:hAnsi="宋体" w:eastAsia="宋体"/>
          <w:sz w:val="24"/>
          <w:szCs w:val="24"/>
        </w:rPr>
      </w:pPr>
      <w:r>
        <w:rPr>
          <w:rFonts w:hint="eastAsia" w:ascii="宋体" w:hAnsi="宋体" w:eastAsia="宋体"/>
          <w:sz w:val="24"/>
          <w:szCs w:val="24"/>
          <w:lang w:val="en-US" w:eastAsia="zh-CN"/>
        </w:rPr>
        <w:t>2025年启东市全民健身设施提档升级服务项目</w:t>
      </w:r>
      <w:r>
        <w:rPr>
          <w:rFonts w:hint="eastAsia" w:ascii="宋体" w:hAnsi="宋体" w:eastAsia="宋体"/>
          <w:sz w:val="24"/>
          <w:szCs w:val="24"/>
        </w:rPr>
        <w:t>即将实施，现就该项目进行市场询价调研。</w:t>
      </w:r>
    </w:p>
    <w:p w14:paraId="73A743FF">
      <w:pPr>
        <w:numPr>
          <w:ilvl w:val="0"/>
          <w:numId w:val="1"/>
        </w:numPr>
        <w:spacing w:line="312" w:lineRule="auto"/>
        <w:ind w:firstLine="480" w:firstLineChars="200"/>
        <w:rPr>
          <w:rFonts w:ascii="宋体" w:hAnsi="宋体" w:eastAsia="宋体" w:cs="宋体"/>
          <w:sz w:val="24"/>
          <w:szCs w:val="24"/>
          <w:lang w:val="zh-CN"/>
        </w:rPr>
      </w:pPr>
      <w:r>
        <w:rPr>
          <w:rFonts w:hint="eastAsia" w:ascii="宋体" w:hAnsi="宋体" w:eastAsia="宋体"/>
          <w:sz w:val="24"/>
          <w:szCs w:val="24"/>
        </w:rPr>
        <w:t>采购需求：</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583"/>
        <w:gridCol w:w="458"/>
        <w:gridCol w:w="458"/>
        <w:gridCol w:w="5974"/>
        <w:gridCol w:w="1358"/>
      </w:tblGrid>
      <w:tr w14:paraId="3800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B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5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0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00A8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2907D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BC1E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r>
      <w:tr w14:paraId="1E90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7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3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告示牌</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F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004E5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CD54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外形尺寸不小于：800×114×1200mm；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1、立柱规格不小于：φ114×3mm国标钢管；表面工艺处理：脱脂、酸洗、磷化、静电喷涂；脱脂、抛丸、静电喷涂。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采用横式不锈钢牌面，牌面尺寸不小于1005×600mm；牌面内容采用双面蚀字工艺制作；牌面采用内嵌式安装，利用防盗螺丝+防盗帽盖固定，美观又防盗；牌面框三面满缝焊接，美观又防雨水；人体易接触区域没有钩挂、缠绕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3、告示内容为所有器材的安全告示和使用方法、注意事项。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4、安装采用直埋方式，每个立柱混凝土基坑500×500×600mm，混凝土强度为C25，更加坚固牢靠。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（体育彩票图标）</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A27B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64135</wp:posOffset>
                  </wp:positionV>
                  <wp:extent cx="552450" cy="809625"/>
                  <wp:effectExtent l="0" t="0" r="0" b="9525"/>
                  <wp:wrapNone/>
                  <wp:docPr id="7" name="图片_16"/>
                  <wp:cNvGraphicFramePr/>
                  <a:graphic xmlns:a="http://schemas.openxmlformats.org/drawingml/2006/main">
                    <a:graphicData uri="http://schemas.openxmlformats.org/drawingml/2006/picture">
                      <pic:pic xmlns:pic="http://schemas.openxmlformats.org/drawingml/2006/picture">
                        <pic:nvPicPr>
                          <pic:cNvPr id="7" name="图片_16"/>
                          <pic:cNvPicPr/>
                        </pic:nvPicPr>
                        <pic:blipFill>
                          <a:blip r:embed="rId4"/>
                          <a:stretch>
                            <a:fillRect/>
                          </a:stretch>
                        </pic:blipFill>
                        <pic:spPr>
                          <a:xfrm>
                            <a:off x="0" y="0"/>
                            <a:ext cx="552450" cy="809625"/>
                          </a:xfrm>
                          <a:prstGeom prst="rect">
                            <a:avLst/>
                          </a:prstGeom>
                          <a:noFill/>
                          <a:ln>
                            <a:noFill/>
                          </a:ln>
                        </pic:spPr>
                      </pic:pic>
                    </a:graphicData>
                  </a:graphic>
                </wp:anchor>
              </w:drawing>
            </w:r>
          </w:p>
        </w:tc>
      </w:tr>
      <w:tr w14:paraId="04A3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7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8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肋木架（肋木）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6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B27E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259D1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外形尺寸不小于：1280×114×2240mm；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1、立柱规格不小于：φ114×3mm国标钢管；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2、表面工艺处理：脱脂、酸洗、磷化、静电喷涂；脱脂、抛丸、静电喷涂。横杆直径不小于φ32×2.5mm，穿入主立柱焊接，更加美观和牢固；最下方横杆下缘与地面缓冲层间的距离应不小于400mm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3、横管间距250mm；两立柱间距不小于1070mm；底端横管离地面的距离为450mm；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4、立柱顶部不高出横管；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5、立柱顶端有防吊挂设计，立柱顶端和横管相平，不会有任何东西能吊挂，上部不允许存在标准附录 A 中 G5 的钩挂结构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6、采用整体焊接方式连接；横杆间隙无头部卡夹危险；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7、地基线以上有300mm的着陆黄沙缓冲层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8、安装采用直埋方式，每个立柱混凝土基坑400×400×700mm，立柱埋入深度600mm，混凝土强度为C25，更加坚固牢靠。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35A6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216535</wp:posOffset>
                  </wp:positionV>
                  <wp:extent cx="330200" cy="567690"/>
                  <wp:effectExtent l="0" t="0" r="12700" b="3810"/>
                  <wp:wrapNone/>
                  <wp:docPr id="20" name="图片_17"/>
                  <wp:cNvGraphicFramePr/>
                  <a:graphic xmlns:a="http://schemas.openxmlformats.org/drawingml/2006/main">
                    <a:graphicData uri="http://schemas.openxmlformats.org/drawingml/2006/picture">
                      <pic:pic xmlns:pic="http://schemas.openxmlformats.org/drawingml/2006/picture">
                        <pic:nvPicPr>
                          <pic:cNvPr id="20" name="图片_17"/>
                          <pic:cNvPicPr/>
                        </pic:nvPicPr>
                        <pic:blipFill>
                          <a:blip r:embed="rId5"/>
                          <a:stretch>
                            <a:fillRect/>
                          </a:stretch>
                        </pic:blipFill>
                        <pic:spPr>
                          <a:xfrm>
                            <a:off x="0" y="0"/>
                            <a:ext cx="330200" cy="567690"/>
                          </a:xfrm>
                          <a:prstGeom prst="rect">
                            <a:avLst/>
                          </a:prstGeom>
                          <a:noFill/>
                          <a:ln>
                            <a:noFill/>
                          </a:ln>
                        </pic:spPr>
                      </pic:pic>
                    </a:graphicData>
                  </a:graphic>
                </wp:anchor>
              </w:drawing>
            </w:r>
          </w:p>
        </w:tc>
      </w:tr>
      <w:tr w14:paraId="4E4D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8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E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天梯（云梯）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2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00F9B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14E76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外形尺寸不小于：3000×900×2000mm；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1、表面工艺处理：脱脂、酸洗、磷化、静电喷涂；脱脂、抛丸、静电喷涂。立柱管径规格不小于：φ114×3mm国标钢管；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2、主承载横梁规格不小于：φ48×3mm国标钢管；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3、天梯两边有护栏，可作单杠用或多人使用；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4、天梯顶架与立柱采用法兰盘连接，防水、安全可靠；上部不允许存在标准附录 A 中 G5 的钩挂结构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5、安装采用直埋方式，每个立柱混凝土基坑500×500×700mm，混凝土强度为C25，更加坚固牢靠。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DFFB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111125</wp:posOffset>
                  </wp:positionV>
                  <wp:extent cx="539750" cy="718820"/>
                  <wp:effectExtent l="0" t="0" r="12700" b="5080"/>
                  <wp:wrapNone/>
                  <wp:docPr id="3" name="图片_18"/>
                  <wp:cNvGraphicFramePr/>
                  <a:graphic xmlns:a="http://schemas.openxmlformats.org/drawingml/2006/main">
                    <a:graphicData uri="http://schemas.openxmlformats.org/drawingml/2006/picture">
                      <pic:pic xmlns:pic="http://schemas.openxmlformats.org/drawingml/2006/picture">
                        <pic:nvPicPr>
                          <pic:cNvPr id="3" name="图片_18"/>
                          <pic:cNvPicPr/>
                        </pic:nvPicPr>
                        <pic:blipFill>
                          <a:blip r:embed="rId6"/>
                          <a:stretch>
                            <a:fillRect/>
                          </a:stretch>
                        </pic:blipFill>
                        <pic:spPr>
                          <a:xfrm>
                            <a:off x="0" y="0"/>
                            <a:ext cx="539750" cy="718820"/>
                          </a:xfrm>
                          <a:prstGeom prst="rect">
                            <a:avLst/>
                          </a:prstGeom>
                          <a:noFill/>
                          <a:ln>
                            <a:noFill/>
                          </a:ln>
                        </pic:spPr>
                      </pic:pic>
                    </a:graphicData>
                  </a:graphic>
                </wp:anchor>
              </w:drawing>
            </w:r>
          </w:p>
        </w:tc>
      </w:tr>
      <w:tr w14:paraId="5FD4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A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5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双位漫步机（双人漫步机）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C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F4DD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69F0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外形尺寸不小于：1900×550×1100mm；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1、表面工艺处理：脱脂、酸洗、磷化、静电喷涂；脱脂、抛丸、静电喷涂。立柱规格：ф114×3mm国标钢管；主承载横梁不小于80×40×3mm或不小于φ60×3mm。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2、摆动极限幅度应不大于 65°(0~+2°),为避免由于安装缓冲垫造成摆动幅度过小造成二次伤害,建议缓冲装置的起始位置不小于 55°；摆杆选用不小于ф60mm×3mm的管材，其他管材实际壁厚不小于3mm，摆杆轴承端部采用防水槽与端盖结合的新颖结构，能防水又防盗；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3、摆杆与主立柱内侧的最小距离处不小于65mm；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4、踏板的主运动方向和易滑脱方向设置高度不大于30mm、长度大于踏板周长2/3的防滑脱的凸台和护板；凸台顶部棱边全部以不小于2mm的R圆弧过渡，踏板厚度不小于4mm；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5、脚踏部位有防滑措施，站立使用的单脚防滑面不小于46000mm²，摩擦系数不低于0.5；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6、摆动部件下缘距地面或底面最小高度不小于110mm；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7、相邻运动的两踏板的间距不小于100mm；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8、转轴直径45毫米，并辅以调质热处理；轴承座最薄处壁厚为13毫米，轴承选用6008承载能力的深沟球轴；可不设置阻尼装置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9、踏板前后两侧采取防止碰撞第三者的缓冲措施，采用新国标的踏板和防撞垫，防撞垫用防盗螺丝固定在踏板上；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10、不存在衣服、头发钩挂或缠绕危险；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11、安装采用直埋方式，每个立柱混凝土基坑400×400×600mm，混凝土强度为C25，更加坚固牢靠。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B09F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241300</wp:posOffset>
                  </wp:positionV>
                  <wp:extent cx="542925" cy="534035"/>
                  <wp:effectExtent l="0" t="0" r="9525" b="18415"/>
                  <wp:wrapNone/>
                  <wp:docPr id="11" name="图片_19"/>
                  <wp:cNvGraphicFramePr/>
                  <a:graphic xmlns:a="http://schemas.openxmlformats.org/drawingml/2006/main">
                    <a:graphicData uri="http://schemas.openxmlformats.org/drawingml/2006/picture">
                      <pic:pic xmlns:pic="http://schemas.openxmlformats.org/drawingml/2006/picture">
                        <pic:nvPicPr>
                          <pic:cNvPr id="11" name="图片_19"/>
                          <pic:cNvPicPr/>
                        </pic:nvPicPr>
                        <pic:blipFill>
                          <a:blip r:embed="rId7"/>
                          <a:stretch>
                            <a:fillRect/>
                          </a:stretch>
                        </pic:blipFill>
                        <pic:spPr>
                          <a:xfrm>
                            <a:off x="0" y="0"/>
                            <a:ext cx="542925" cy="534035"/>
                          </a:xfrm>
                          <a:prstGeom prst="rect">
                            <a:avLst/>
                          </a:prstGeom>
                          <a:noFill/>
                          <a:ln>
                            <a:noFill/>
                          </a:ln>
                        </pic:spPr>
                      </pic:pic>
                    </a:graphicData>
                  </a:graphic>
                </wp:anchor>
              </w:drawing>
            </w:r>
          </w:p>
        </w:tc>
      </w:tr>
      <w:tr w14:paraId="3D6E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A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C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四位蹬力器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A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4D7CC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14A57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表面工艺处理：脱脂、酸洗、磷化、静电喷涂；脱脂、抛丸、静电喷涂。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1、主立柱采用ф114×3.0mm优质钢管，钢制盖帽；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2、摆杆采用ф60×3.0mm优质钢管，与脚踏距离内空大于230mm，地面内空大于450mm设计，坐椅采用钢板制作而成，脚踏采用滚花防滑工艺；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连接件采用内限位、防撞缓冲轴承装置，轴径Φ30mm双轴承连接转动装置，并作防水、防尘密封，对轴承形成良好保护，防止雨水的浸透而造成轴承的生锈坏死；止退装置设计，不锈钢螺丝连接，螺丝藏于防盗盖内部，可防锈防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4、器材表面采用户外环保聚酯静电粉末喷涂处理，采用计算机控制进口静电粉末喷涂设备，粉末回收采用小旋风和进口滤心，高效率回收，不污染环境；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5、主立柱明显位置铆接0.7mm厚，大小为260mm×90mm的不锈钢警告说明牌；方形设计，四个主立柱，防止划伤；字体采用照相腐蚀，环保耐用。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6、参考尺寸不小于1850×1350×1552mm。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7、安装采用直埋方式，每个立柱混凝土基坑400×400×600mm，混凝土强度为C25，更加坚固牢靠。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C0B8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70485</wp:posOffset>
                  </wp:positionV>
                  <wp:extent cx="610235" cy="756920"/>
                  <wp:effectExtent l="0" t="0" r="18415" b="5080"/>
                  <wp:wrapNone/>
                  <wp:docPr id="4" name="图片_20"/>
                  <wp:cNvGraphicFramePr/>
                  <a:graphic xmlns:a="http://schemas.openxmlformats.org/drawingml/2006/main">
                    <a:graphicData uri="http://schemas.openxmlformats.org/drawingml/2006/picture">
                      <pic:pic xmlns:pic="http://schemas.openxmlformats.org/drawingml/2006/picture">
                        <pic:nvPicPr>
                          <pic:cNvPr id="4" name="图片_20"/>
                          <pic:cNvPicPr/>
                        </pic:nvPicPr>
                        <pic:blipFill>
                          <a:blip r:embed="rId8"/>
                          <a:stretch>
                            <a:fillRect/>
                          </a:stretch>
                        </pic:blipFill>
                        <pic:spPr>
                          <a:xfrm>
                            <a:off x="0" y="0"/>
                            <a:ext cx="610235" cy="756920"/>
                          </a:xfrm>
                          <a:prstGeom prst="rect">
                            <a:avLst/>
                          </a:prstGeom>
                          <a:noFill/>
                          <a:ln>
                            <a:noFill/>
                          </a:ln>
                        </pic:spPr>
                      </pic:pic>
                    </a:graphicData>
                  </a:graphic>
                </wp:anchor>
              </w:drawing>
            </w:r>
          </w:p>
        </w:tc>
      </w:tr>
      <w:tr w14:paraId="2E7D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C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上肢牵引器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B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EB8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044F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外形尺寸不小于：730×600×2400mm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1.表面工艺处理：脱脂、酸洗、磷化、静电喷涂；脱脂、抛丸、静电喷涂。主要承载立柱：φ114×3.0mm钢管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2.主要承载横梁不小于：φ60×3.0mm钢管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3.采用橡塑手把套，以增加使用时的舒适程度，手柄端部直径52mm，除专用工具外不可拆，拉把与主支架连接部分具有内限位缓冲装置；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4.把手端离地面的距离为1920mm；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5.活动把手（不含柔性部件）质量450g；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6.安装采用直埋方式，混凝土基坑400×400×700mm，混凝土强度为C25，更加坚固牢靠。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7、不论设置何种类型的手把或手把套，握持位置应有纹理表面，可不设置阻尼装置；柔性部件的质量应不大于活动把手的质量。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BB36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231775</wp:posOffset>
                  </wp:positionH>
                  <wp:positionV relativeFrom="paragraph">
                    <wp:posOffset>86360</wp:posOffset>
                  </wp:positionV>
                  <wp:extent cx="163195" cy="852805"/>
                  <wp:effectExtent l="0" t="0" r="8255" b="4445"/>
                  <wp:wrapNone/>
                  <wp:docPr id="19" name="图片_21"/>
                  <wp:cNvGraphicFramePr/>
                  <a:graphic xmlns:a="http://schemas.openxmlformats.org/drawingml/2006/main">
                    <a:graphicData uri="http://schemas.openxmlformats.org/drawingml/2006/picture">
                      <pic:pic xmlns:pic="http://schemas.openxmlformats.org/drawingml/2006/picture">
                        <pic:nvPicPr>
                          <pic:cNvPr id="19" name="图片_21"/>
                          <pic:cNvPicPr/>
                        </pic:nvPicPr>
                        <pic:blipFill>
                          <a:blip r:embed="rId9"/>
                          <a:stretch>
                            <a:fillRect/>
                          </a:stretch>
                        </pic:blipFill>
                        <pic:spPr>
                          <a:xfrm>
                            <a:off x="0" y="0"/>
                            <a:ext cx="163195" cy="852805"/>
                          </a:xfrm>
                          <a:prstGeom prst="rect">
                            <a:avLst/>
                          </a:prstGeom>
                          <a:noFill/>
                          <a:ln>
                            <a:noFill/>
                          </a:ln>
                        </pic:spPr>
                      </pic:pic>
                    </a:graphicData>
                  </a:graphic>
                </wp:anchor>
              </w:drawing>
            </w:r>
          </w:p>
        </w:tc>
      </w:tr>
      <w:tr w14:paraId="09A1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2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0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三位扭腰器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9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F2E8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2E4DA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外形尺寸不小于：1350×1200×1040mm；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1、表面工艺处理：脱脂、酸洗、磷化、静电喷涂；脱脂、抛丸、静电喷涂。立柱规格：ф114×3mm国标钢管；附件规格：ф32×3mm国标钢管；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2、可三人同时使用；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3、转动部位采用可承受轴向推力的国家标准哈尔滨6205、51305高精度含油封闭滚动轴承，并具有防水功能；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4、转盘采用钢制冲压而成,直径不小于φ300mm，表面采用凹凸设计，具有防滑措施，防滑面不小于39500mm²，摩擦系数不低于0.6；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5、转盘设置防止超速运转的内限位阻尼装置；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6、安装采用直埋方式，每个立柱混凝土基坑500×500×600mm，混凝土强度为C25，更加坚固牢靠。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0F86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45085</wp:posOffset>
                  </wp:positionV>
                  <wp:extent cx="617220" cy="766445"/>
                  <wp:effectExtent l="0" t="0" r="11430" b="14605"/>
                  <wp:wrapNone/>
                  <wp:docPr id="16" name="图片_22"/>
                  <wp:cNvGraphicFramePr/>
                  <a:graphic xmlns:a="http://schemas.openxmlformats.org/drawingml/2006/main">
                    <a:graphicData uri="http://schemas.openxmlformats.org/drawingml/2006/picture">
                      <pic:pic xmlns:pic="http://schemas.openxmlformats.org/drawingml/2006/picture">
                        <pic:nvPicPr>
                          <pic:cNvPr id="16" name="图片_22"/>
                          <pic:cNvPicPr/>
                        </pic:nvPicPr>
                        <pic:blipFill>
                          <a:blip r:embed="rId10"/>
                          <a:stretch>
                            <a:fillRect/>
                          </a:stretch>
                        </pic:blipFill>
                        <pic:spPr>
                          <a:xfrm>
                            <a:off x="0" y="0"/>
                            <a:ext cx="617220" cy="766445"/>
                          </a:xfrm>
                          <a:prstGeom prst="rect">
                            <a:avLst/>
                          </a:prstGeom>
                          <a:noFill/>
                          <a:ln>
                            <a:noFill/>
                          </a:ln>
                        </pic:spPr>
                      </pic:pic>
                    </a:graphicData>
                  </a:graphic>
                </wp:anchor>
              </w:drawing>
            </w:r>
          </w:p>
        </w:tc>
      </w:tr>
      <w:tr w14:paraId="76CE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E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1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腰背按摩器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6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6FBB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2909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外形尺寸不小于：1250×700×1300mm；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1、表面工艺处理：脱脂、酸洗、磷化、静电喷涂；脱脂、抛丸、静电喷涂。立柱规格不小于：ф114×3mm国标钢管；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2、扶手管规格不小于：ф42×2.5mm国标钢管，外装橡塑把套，增强舒适度；把手规格φ38*δ2.5mm。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3、具有座式腰部按摩及站式背部按摩两种功能，可二人同时使用，座式按摩部分有限位装置，使用安全；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4、按摩轮采用优质工程塑料制作，符合GB19272-2011标准，表面具有凸起的按摩圆球，以增加锻炼效果及锻炼的舒适程度；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5、转轴直径不小于20mm；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6、不存在衣服、头发钩挂或缠绕危险。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7、安装采用直埋方式，混凝土基坑400×400×600mm，混凝土强度为C25，更加坚固牢靠。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8、不论设置何种类型的手把或手把套，握持位置应有纹理表面；可不设置阻尼装置。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EBB4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0075" cy="752475"/>
                  <wp:effectExtent l="0" t="0" r="9525" b="9525"/>
                  <wp:wrapNone/>
                  <wp:docPr id="5" name="图片_23"/>
                  <wp:cNvGraphicFramePr/>
                  <a:graphic xmlns:a="http://schemas.openxmlformats.org/drawingml/2006/main">
                    <a:graphicData uri="http://schemas.openxmlformats.org/drawingml/2006/picture">
                      <pic:pic xmlns:pic="http://schemas.openxmlformats.org/drawingml/2006/picture">
                        <pic:nvPicPr>
                          <pic:cNvPr id="5" name="图片_23"/>
                          <pic:cNvPicPr/>
                        </pic:nvPicPr>
                        <pic:blipFill>
                          <a:blip r:embed="rId11"/>
                          <a:stretch>
                            <a:fillRect/>
                          </a:stretch>
                        </pic:blipFill>
                        <pic:spPr>
                          <a:xfrm>
                            <a:off x="0" y="0"/>
                            <a:ext cx="600075" cy="752475"/>
                          </a:xfrm>
                          <a:prstGeom prst="rect">
                            <a:avLst/>
                          </a:prstGeom>
                          <a:noFill/>
                          <a:ln>
                            <a:noFill/>
                          </a:ln>
                        </pic:spPr>
                      </pic:pic>
                    </a:graphicData>
                  </a:graphic>
                </wp:anchor>
              </w:drawing>
            </w:r>
          </w:p>
        </w:tc>
      </w:tr>
      <w:tr w14:paraId="2A29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5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5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太极揉推器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D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50DDC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CC37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外形尺寸不小于：1150×1050×1320mm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1、表面工艺处理：脱脂、酸洗、磷化、静电喷涂；脱脂、抛丸、静电喷涂。立柱规格：φ114×3mm国标钢管；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2、转盘支管径：φ60×3mm国标钢管；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3、转盘直径φ580mm，材质为优质工程塑料或铁质，符合GB19272-2011标准，内注塑有塑料加强筋，转盘面有防滑措施；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4、两转盘内侧距离240mm；需要设置阻尼装置。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5、转盘中心距地面高度分别为1100mm、1200mm；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6、立柱采用钢制封头，用机械手焊接，磨平，光滑、连续、耐久，防盗，避免淋入雨水；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7、转盘转动位具有阻尼装置，并具有防水圈，防止器材空转及雨水淋入；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8、安装采用直埋方式，混凝土基坑400×400×600mm，混凝土强度为C25，更加坚固牢靠。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A25A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5320" cy="784225"/>
                  <wp:effectExtent l="0" t="0" r="11430" b="15875"/>
                  <wp:wrapNone/>
                  <wp:docPr id="6" name="图片_24"/>
                  <wp:cNvGraphicFramePr/>
                  <a:graphic xmlns:a="http://schemas.openxmlformats.org/drawingml/2006/main">
                    <a:graphicData uri="http://schemas.openxmlformats.org/drawingml/2006/picture">
                      <pic:pic xmlns:pic="http://schemas.openxmlformats.org/drawingml/2006/picture">
                        <pic:nvPicPr>
                          <pic:cNvPr id="6" name="图片_24"/>
                          <pic:cNvPicPr/>
                        </pic:nvPicPr>
                        <pic:blipFill>
                          <a:blip r:embed="rId12"/>
                          <a:stretch>
                            <a:fillRect/>
                          </a:stretch>
                        </pic:blipFill>
                        <pic:spPr>
                          <a:xfrm>
                            <a:off x="0" y="0"/>
                            <a:ext cx="655320" cy="784225"/>
                          </a:xfrm>
                          <a:prstGeom prst="rect">
                            <a:avLst/>
                          </a:prstGeom>
                          <a:noFill/>
                          <a:ln>
                            <a:noFill/>
                          </a:ln>
                        </pic:spPr>
                      </pic:pic>
                    </a:graphicData>
                  </a:graphic>
                </wp:anchor>
              </w:drawing>
            </w:r>
          </w:p>
        </w:tc>
      </w:tr>
      <w:tr w14:paraId="62B6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0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3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曲臂腿部按摩组合训练器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3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06BA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77BA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外形尺寸不小于：1135×600×1530mm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1、表面工艺处理：脱脂、酸洗、磷化、静电喷涂；脱脂、抛丸、静电喷涂。主要承载立柱不小于：φ114×3mm钢管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2、主要承载横梁不小于：φ42×2.75mm钢管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3、扶手管不小于：φ32×2.5mm钢管，上部不允许存在标准附录 A 中 G5 的钩挂结构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4、腿部按摩轮有防止侧面滑脱的措施；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5、安装采用直埋方式，混凝土基坑400×400×600mm，混凝土强度为C25，更加坚固牢靠。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3ACC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45085</wp:posOffset>
                  </wp:positionV>
                  <wp:extent cx="438150" cy="880110"/>
                  <wp:effectExtent l="0" t="0" r="0" b="15240"/>
                  <wp:wrapNone/>
                  <wp:docPr id="14" name="图片_25"/>
                  <wp:cNvGraphicFramePr/>
                  <a:graphic xmlns:a="http://schemas.openxmlformats.org/drawingml/2006/main">
                    <a:graphicData uri="http://schemas.openxmlformats.org/drawingml/2006/picture">
                      <pic:pic xmlns:pic="http://schemas.openxmlformats.org/drawingml/2006/picture">
                        <pic:nvPicPr>
                          <pic:cNvPr id="14" name="图片_25"/>
                          <pic:cNvPicPr/>
                        </pic:nvPicPr>
                        <pic:blipFill>
                          <a:blip r:embed="rId13"/>
                          <a:stretch>
                            <a:fillRect/>
                          </a:stretch>
                        </pic:blipFill>
                        <pic:spPr>
                          <a:xfrm>
                            <a:off x="0" y="0"/>
                            <a:ext cx="438150" cy="880110"/>
                          </a:xfrm>
                          <a:prstGeom prst="rect">
                            <a:avLst/>
                          </a:prstGeom>
                          <a:noFill/>
                          <a:ln>
                            <a:noFill/>
                          </a:ln>
                        </pic:spPr>
                      </pic:pic>
                    </a:graphicData>
                  </a:graphic>
                </wp:anchor>
              </w:drawing>
            </w:r>
          </w:p>
        </w:tc>
      </w:tr>
      <w:tr w14:paraId="5062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4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跷跷板</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2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40282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3E1A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外形尺寸不小于：1583×367×840mm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1、表面工艺处理：脱脂、酸洗、磷化、静电喷涂；脱脂、抛丸、静电喷涂。主要承载立柱尺寸不小于：不小于φ114mm×δ3mm钢管；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主要承载横梁尺寸：不小于φ80mm×δ3mm钢管；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2、转动部位采用可承受轴向推力的国家标准高精度含油封闭滚动轴承，并具有防水功能；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3、铁板坐垫、花纹钢管握杆；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4、安装采用直埋方式，单根立柱地埋尺寸不小于500×500×600mm，混凝土强度不低于C25，更加坚固牢靠。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3560E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8"/>
                <w:szCs w:val="28"/>
                <w:u w:val="none"/>
              </w:rPr>
            </w:pPr>
            <w:r>
              <w:drawing>
                <wp:anchor distT="0" distB="0" distL="114300" distR="114300" simplePos="0" relativeHeight="251661312" behindDoc="0" locked="0" layoutInCell="1" allowOverlap="1">
                  <wp:simplePos x="0" y="0"/>
                  <wp:positionH relativeFrom="column">
                    <wp:posOffset>98425</wp:posOffset>
                  </wp:positionH>
                  <wp:positionV relativeFrom="paragraph">
                    <wp:posOffset>-103505</wp:posOffset>
                  </wp:positionV>
                  <wp:extent cx="560705" cy="291465"/>
                  <wp:effectExtent l="0" t="0" r="10795" b="13335"/>
                  <wp:wrapSquare wrapText="bothSides"/>
                  <wp:docPr id="27" name="图片 26"/>
                  <wp:cNvGraphicFramePr/>
                  <a:graphic xmlns:a="http://schemas.openxmlformats.org/drawingml/2006/main">
                    <a:graphicData uri="http://schemas.openxmlformats.org/drawingml/2006/picture">
                      <pic:pic xmlns:pic="http://schemas.openxmlformats.org/drawingml/2006/picture">
                        <pic:nvPicPr>
                          <pic:cNvPr id="27" name="图片 26"/>
                          <pic:cNvPicPr/>
                        </pic:nvPicPr>
                        <pic:blipFill>
                          <a:blip r:embed="rId14"/>
                          <a:stretch>
                            <a:fillRect/>
                          </a:stretch>
                        </pic:blipFill>
                        <pic:spPr>
                          <a:xfrm>
                            <a:off x="0" y="0"/>
                            <a:ext cx="560705" cy="291465"/>
                          </a:xfrm>
                          <a:prstGeom prst="rect">
                            <a:avLst/>
                          </a:prstGeom>
                          <a:noFill/>
                          <a:ln>
                            <a:noFill/>
                          </a:ln>
                        </pic:spPr>
                      </pic:pic>
                    </a:graphicData>
                  </a:graphic>
                </wp:anchor>
              </w:drawing>
            </w:r>
          </w:p>
        </w:tc>
      </w:tr>
      <w:tr w14:paraId="1B1F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C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室外棋牌桌</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2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689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011F2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1、立柱规格：ф114×3mm国标钢管；承载横梁规格不小于40×25×2.5mm国标钢管，座位立柱管材：ф76×3mm国标钢管；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2、桌面尺寸不低于650mm×650mm，桌面采用304不锈钢材质，厚度1mm；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3、紧固件材质为304不锈钢，具有防盗、防锈、防松功能，需专用工具方可拆卸；表面处理工艺：除油除锈酸洗磷化-静电喷塑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4、安装后尺寸不低于：1620×1620×580mm。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安装采用直埋方式，主立柱混凝土基坑400×400×400mm，混凝土强度为C25，更加坚固牢靠，其余安装采用直埋方式，混凝土基坑200×200×200mm，混凝土强度为C25，更加坚固牢靠。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5BC7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419735</wp:posOffset>
                  </wp:positionV>
                  <wp:extent cx="581025" cy="304800"/>
                  <wp:effectExtent l="0" t="0" r="9525" b="0"/>
                  <wp:wrapNone/>
                  <wp:docPr id="8" name="图片_27"/>
                  <wp:cNvGraphicFramePr/>
                  <a:graphic xmlns:a="http://schemas.openxmlformats.org/drawingml/2006/main">
                    <a:graphicData uri="http://schemas.openxmlformats.org/drawingml/2006/picture">
                      <pic:pic xmlns:pic="http://schemas.openxmlformats.org/drawingml/2006/picture">
                        <pic:nvPicPr>
                          <pic:cNvPr id="8" name="图片_27"/>
                          <pic:cNvPicPr/>
                        </pic:nvPicPr>
                        <pic:blipFill>
                          <a:blip r:embed="rId15"/>
                          <a:stretch>
                            <a:fillRect/>
                          </a:stretch>
                        </pic:blipFill>
                        <pic:spPr>
                          <a:xfrm>
                            <a:off x="0" y="0"/>
                            <a:ext cx="581025" cy="304800"/>
                          </a:xfrm>
                          <a:prstGeom prst="rect">
                            <a:avLst/>
                          </a:prstGeom>
                          <a:noFill/>
                          <a:ln>
                            <a:noFill/>
                          </a:ln>
                        </pic:spPr>
                      </pic:pic>
                    </a:graphicData>
                  </a:graphic>
                </wp:anchor>
              </w:drawing>
            </w:r>
          </w:p>
        </w:tc>
      </w:tr>
      <w:tr w14:paraId="49F3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C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4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室外乒乓球台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D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6ECA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7565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1、球台长度2740mm±3mm，球台宽度不小于1525mm，球台高度不小于760mm，端、边线宽度20mm±1mm，中线宽度3mm±0.5mm。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2、球台台面材质用于适于室外使用SMC材质，防水、抗寒、耐热，并能长期保持不变形、不翘曲、不开裂。表面处理工艺：脱脂、酸洗、磷化、静电喷涂；脱脂、抛丸、静电喷涂。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3、球台弹性230~260mm，弹性均匀度≤10mm，台面与球面摩擦系数COF值≤0.6。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4、球台台面支撑架采用优质钢管≥φ60×δ3 mm，支撑架与台面连接牢固可靠，连接机构予以防护，使用者没有工具不能松开，托架管尺寸≥30×20×δ2，球台稳定性≤14mm。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5、球网架材质为镀锌金属件，与台面配合严密稳固，长期室外使用能保持不变形、不锈蚀。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94C7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140335</wp:posOffset>
                  </wp:positionH>
                  <wp:positionV relativeFrom="paragraph">
                    <wp:posOffset>288925</wp:posOffset>
                  </wp:positionV>
                  <wp:extent cx="436245" cy="577215"/>
                  <wp:effectExtent l="0" t="0" r="1905" b="13335"/>
                  <wp:wrapNone/>
                  <wp:docPr id="18" name="图片_28"/>
                  <wp:cNvGraphicFramePr/>
                  <a:graphic xmlns:a="http://schemas.openxmlformats.org/drawingml/2006/main">
                    <a:graphicData uri="http://schemas.openxmlformats.org/drawingml/2006/picture">
                      <pic:pic xmlns:pic="http://schemas.openxmlformats.org/drawingml/2006/picture">
                        <pic:nvPicPr>
                          <pic:cNvPr id="18" name="图片_28"/>
                          <pic:cNvPicPr/>
                        </pic:nvPicPr>
                        <pic:blipFill>
                          <a:blip r:embed="rId16"/>
                          <a:stretch>
                            <a:fillRect/>
                          </a:stretch>
                        </pic:blipFill>
                        <pic:spPr>
                          <a:xfrm>
                            <a:off x="0" y="0"/>
                            <a:ext cx="436245" cy="577215"/>
                          </a:xfrm>
                          <a:prstGeom prst="rect">
                            <a:avLst/>
                          </a:prstGeom>
                          <a:noFill/>
                          <a:ln>
                            <a:noFill/>
                          </a:ln>
                        </pic:spPr>
                      </pic:pic>
                    </a:graphicData>
                  </a:graphic>
                </wp:anchor>
              </w:drawing>
            </w:r>
          </w:p>
        </w:tc>
      </w:tr>
      <w:tr w14:paraId="7B25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4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4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室外羽毛球架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4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541DD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1A3B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254635</wp:posOffset>
                  </wp:positionV>
                  <wp:extent cx="645160" cy="660400"/>
                  <wp:effectExtent l="0" t="0" r="2540" b="6350"/>
                  <wp:wrapNone/>
                  <wp:docPr id="9" name="图片_26"/>
                  <wp:cNvGraphicFramePr/>
                  <a:graphic xmlns:a="http://schemas.openxmlformats.org/drawingml/2006/main">
                    <a:graphicData uri="http://schemas.openxmlformats.org/drawingml/2006/picture">
                      <pic:pic xmlns:pic="http://schemas.openxmlformats.org/drawingml/2006/picture">
                        <pic:nvPicPr>
                          <pic:cNvPr id="9" name="图片_26"/>
                          <pic:cNvPicPr/>
                        </pic:nvPicPr>
                        <pic:blipFill>
                          <a:blip r:embed="rId17"/>
                          <a:stretch>
                            <a:fillRect/>
                          </a:stretch>
                        </pic:blipFill>
                        <pic:spPr>
                          <a:xfrm>
                            <a:off x="0" y="0"/>
                            <a:ext cx="645160" cy="660400"/>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u w:val="none"/>
                <w:lang w:val="en-US" w:eastAsia="zh-CN" w:bidi="ar"/>
              </w:rPr>
              <w:t>1、网柱为圆形优质钢管，直径不小于40mm，壁厚不小于3mm；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2、网柱高度2120±5mm，拉网中央高度2000±5mm，球网两端高度不应高于拉网中央高度20mm，且两端应相等；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3、顶端设有滑轮，内侧对称配有相应高度的球网挂钩，能将张网绳索牢固挂住，外侧设有挂（夹）拉网钢丝网绳的装置，且在张完球网时，即使在无外力作用时，能确保钢丝网绳牢固拉紧；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4、对网柱施加600N水平力，不产生永久变形；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5、配套拉网用的柔韧钢丝网绳，长度适宜，两端应与网柱作配套处理；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6、配重箱材质为优质钢管，有滚轮装置；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C0EAB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8"/>
                <w:szCs w:val="28"/>
                <w:u w:val="none"/>
              </w:rPr>
            </w:pPr>
            <w:r>
              <w:drawing>
                <wp:anchor distT="0" distB="0" distL="114300" distR="114300" simplePos="0" relativeHeight="251662336" behindDoc="0" locked="0" layoutInCell="1" allowOverlap="1">
                  <wp:simplePos x="0" y="0"/>
                  <wp:positionH relativeFrom="column">
                    <wp:posOffset>117475</wp:posOffset>
                  </wp:positionH>
                  <wp:positionV relativeFrom="paragraph">
                    <wp:posOffset>-227330</wp:posOffset>
                  </wp:positionV>
                  <wp:extent cx="533400" cy="546100"/>
                  <wp:effectExtent l="0" t="0" r="0" b="6350"/>
                  <wp:wrapSquare wrapText="bothSides"/>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18"/>
                          <a:stretch>
                            <a:fillRect/>
                          </a:stretch>
                        </pic:blipFill>
                        <pic:spPr>
                          <a:xfrm>
                            <a:off x="0" y="0"/>
                            <a:ext cx="533400" cy="546100"/>
                          </a:xfrm>
                          <a:prstGeom prst="rect">
                            <a:avLst/>
                          </a:prstGeom>
                          <a:noFill/>
                          <a:ln w="9525">
                            <a:noFill/>
                          </a:ln>
                        </pic:spPr>
                      </pic:pic>
                    </a:graphicData>
                  </a:graphic>
                </wp:anchor>
              </w:drawing>
            </w:r>
          </w:p>
        </w:tc>
      </w:tr>
      <w:tr w14:paraId="45C6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3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4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室内乒乓球台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E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882B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4DF88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1、主要立柱管材:  不小于40*40*2 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2、台面尺寸不小于2740mm*1525mm，台高：不小于760mm；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3、弹性：220－250 mm，弹性均匀度：≤10 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4、台面光泽度：≤10度，台面摩擦系数：≤0.6；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5、球台稳定性：≤7 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6、台面采用乒乓球台专用高密度板，弹性好；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7、架体喷涂前采用酸洗、磷化除锈处理工艺，架体表面喷塑，能确保涂层在室内长期使用；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8、立柱底脚装有4个调节螺钉、8个可调万向脚轮，在乒乓球台场地不太平整的情况下，也能精确调整台面距地面的高度；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9、组装尺寸: ≥2740*1525*760mm。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10、具有配套球网，球网和球台为同一品牌。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067F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321310</wp:posOffset>
                  </wp:positionV>
                  <wp:extent cx="620395" cy="581025"/>
                  <wp:effectExtent l="0" t="0" r="8255" b="9525"/>
                  <wp:wrapNone/>
                  <wp:docPr id="10" name="图片_29"/>
                  <wp:cNvGraphicFramePr/>
                  <a:graphic xmlns:a="http://schemas.openxmlformats.org/drawingml/2006/main">
                    <a:graphicData uri="http://schemas.openxmlformats.org/drawingml/2006/picture">
                      <pic:pic xmlns:pic="http://schemas.openxmlformats.org/drawingml/2006/picture">
                        <pic:nvPicPr>
                          <pic:cNvPr id="10" name="图片_29"/>
                          <pic:cNvPicPr/>
                        </pic:nvPicPr>
                        <pic:blipFill>
                          <a:blip r:embed="rId19"/>
                          <a:stretch>
                            <a:fillRect/>
                          </a:stretch>
                        </pic:blipFill>
                        <pic:spPr>
                          <a:xfrm>
                            <a:off x="0" y="0"/>
                            <a:ext cx="620395" cy="581025"/>
                          </a:xfrm>
                          <a:prstGeom prst="rect">
                            <a:avLst/>
                          </a:prstGeom>
                          <a:noFill/>
                          <a:ln>
                            <a:noFill/>
                          </a:ln>
                        </pic:spPr>
                      </pic:pic>
                    </a:graphicData>
                  </a:graphic>
                </wp:anchor>
              </w:drawing>
            </w:r>
          </w:p>
        </w:tc>
      </w:tr>
      <w:tr w14:paraId="0235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3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9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商用电动跑步机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C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1452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249D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马达：输入功率≥2.3kw，电动机：交流220V，功率：≥2.2Kw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2、速度范围：0.5-25KM/H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坡度范围：-3-18%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跑步区域≥1700*590mm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程序：用户可自调时间，距离，卡路里倒数模式、特备中央操作系统，速度、升降、心率控制与STOP停止按键                                                     6、框架结构：钢材焊接主体框架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最大承重：≥220KG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展开尺寸：≥2300*950*1680MM。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FD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285750</wp:posOffset>
                  </wp:positionV>
                  <wp:extent cx="675005" cy="560070"/>
                  <wp:effectExtent l="0" t="0" r="10795" b="11430"/>
                  <wp:wrapNone/>
                  <wp:docPr id="12" name="图片_23_SpCnt_1"/>
                  <wp:cNvGraphicFramePr/>
                  <a:graphic xmlns:a="http://schemas.openxmlformats.org/drawingml/2006/main">
                    <a:graphicData uri="http://schemas.openxmlformats.org/drawingml/2006/picture">
                      <pic:pic xmlns:pic="http://schemas.openxmlformats.org/drawingml/2006/picture">
                        <pic:nvPicPr>
                          <pic:cNvPr id="12" name="图片_23_SpCnt_1"/>
                          <pic:cNvPicPr/>
                        </pic:nvPicPr>
                        <pic:blipFill>
                          <a:blip r:embed="rId20"/>
                          <a:stretch>
                            <a:fillRect/>
                          </a:stretch>
                        </pic:blipFill>
                        <pic:spPr>
                          <a:xfrm>
                            <a:off x="0" y="0"/>
                            <a:ext cx="675005" cy="560070"/>
                          </a:xfrm>
                          <a:prstGeom prst="rect">
                            <a:avLst/>
                          </a:prstGeom>
                          <a:noFill/>
                          <a:ln>
                            <a:noFill/>
                          </a:ln>
                        </pic:spPr>
                      </pic:pic>
                    </a:graphicData>
                  </a:graphic>
                </wp:anchor>
              </w:drawing>
            </w:r>
          </w:p>
        </w:tc>
      </w:tr>
      <w:tr w14:paraId="56AA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D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F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动感单车</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6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930B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76B48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1、电镀飞轮，重量≥24KG ，尺寸≥￠480*27mm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2、展开尺寸（长*宽*高）≥1280*530*1190mm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3、最大载重≥150KG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4、净重≥65KG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5、管材参数：底脚管≥PT120*50*2.0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主斜管≥PT100*50*2.0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坐垫插管≥PT100*50*2.0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前支撑管≥PT80*40*1.5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龙头插管≥PT100*50*2.0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6、龙头、坐垫可上、下、前、后调节；前后两地脚管带可调整高度装置；前端滚轮设计，可方便随意移动；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7、曲柄R170尺寸≥210*40*9mm，脚踏尺寸≥95*65*30mm，脚蹬绑带可调节；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8、内部为多楔带传动，无噪音的传动系统，减少零配件的损耗；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9、车身采用高级涂料静电喷涂高温处理，耐磨耐酸,止滑把手；PU赛车坐垫；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10、下压式阻力刹车紧急方式；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0C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wp:posOffset>
                  </wp:positionH>
                  <wp:positionV relativeFrom="paragraph">
                    <wp:posOffset>415290</wp:posOffset>
                  </wp:positionV>
                  <wp:extent cx="688340" cy="771525"/>
                  <wp:effectExtent l="0" t="0" r="16510" b="9525"/>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21"/>
                          <a:stretch>
                            <a:fillRect/>
                          </a:stretch>
                        </pic:blipFill>
                        <pic:spPr>
                          <a:xfrm>
                            <a:off x="0" y="0"/>
                            <a:ext cx="688340" cy="771525"/>
                          </a:xfrm>
                          <a:prstGeom prst="rect">
                            <a:avLst/>
                          </a:prstGeom>
                          <a:noFill/>
                          <a:ln>
                            <a:noFill/>
                          </a:ln>
                        </pic:spPr>
                      </pic:pic>
                    </a:graphicData>
                  </a:graphic>
                </wp:anchor>
              </w:drawing>
            </w:r>
          </w:p>
        </w:tc>
      </w:tr>
      <w:tr w14:paraId="5732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D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A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商用卧式健身车</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9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4FEB9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B47B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1、自发电系统（不需外接电源）、电磁铁阻力；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2、飞轮直径≥￠243mm（重量15.5kg）；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3、展开尺寸（长*宽*高）≥1720*650*1380mm；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4、仪表显示器尺寸≥340*430*160mm；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5、仪表功能：时间、速度、距离、心率、热量，16档阻力调节，6种不同模式运动程序；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6、主体钢架坚固，稳定，刚性好；主要管材≥100*50*2.5mm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7、铝合金座椅导轨,PU舒适坐、靠垫；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8、内部为多楔带传动，无噪音的传动系统，减少零配件的损耗；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9、易调节座椅设置；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10、安全的踏板绑带；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11、多用途个人物品存放架；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12、前端滚轮设计，可方便随意移动；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13、最大载重≥150kg；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14、净重≥96kg；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3F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473710</wp:posOffset>
                  </wp:positionV>
                  <wp:extent cx="678815" cy="667385"/>
                  <wp:effectExtent l="0" t="0" r="6985" b="18415"/>
                  <wp:wrapNone/>
                  <wp:docPr id="15" name="图片_24_SpCnt_1"/>
                  <wp:cNvGraphicFramePr/>
                  <a:graphic xmlns:a="http://schemas.openxmlformats.org/drawingml/2006/main">
                    <a:graphicData uri="http://schemas.openxmlformats.org/drawingml/2006/picture">
                      <pic:pic xmlns:pic="http://schemas.openxmlformats.org/drawingml/2006/picture">
                        <pic:nvPicPr>
                          <pic:cNvPr id="15" name="图片_24_SpCnt_1"/>
                          <pic:cNvPicPr/>
                        </pic:nvPicPr>
                        <pic:blipFill>
                          <a:blip r:embed="rId22"/>
                          <a:stretch>
                            <a:fillRect/>
                          </a:stretch>
                        </pic:blipFill>
                        <pic:spPr>
                          <a:xfrm>
                            <a:off x="0" y="0"/>
                            <a:ext cx="678815" cy="667385"/>
                          </a:xfrm>
                          <a:prstGeom prst="rect">
                            <a:avLst/>
                          </a:prstGeom>
                          <a:noFill/>
                          <a:ln>
                            <a:noFill/>
                          </a:ln>
                        </pic:spPr>
                      </pic:pic>
                    </a:graphicData>
                  </a:graphic>
                </wp:anchor>
              </w:drawing>
            </w:r>
          </w:p>
        </w:tc>
      </w:tr>
      <w:tr w14:paraId="4ED1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8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3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商用椭圆机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3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8026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7E4FC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1、自发电系统（不需外接电源）、电磁铁阻力；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2、飞轮直径≥￠243mm（重量15.5kg）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3、仪表显示器尺寸：5窗口LED显示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4、主体钢架坚固，稳定，刚性好；主要管材≥PT100*50*2.5mm椭圆管  把立管规格≥Φ50*2MM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5、ABS高强度踏板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6、坡度调节功能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7、后置式驱动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8、仪表功能：时间、速度、距离、心率、热量、坡度，16档阻力调节，6种不同模式运动程序；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9、全身有氧训练，多把位防滑把手设计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10、零冲击椭圆式运动，前行逆转动作顺畅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11、最大载重≥140kg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12、毛净重≥290/170KG，展开尺寸≥2080*835*1700mm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铝合金导轨。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41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499745</wp:posOffset>
                  </wp:positionV>
                  <wp:extent cx="622935" cy="624205"/>
                  <wp:effectExtent l="0" t="0" r="5715" b="4445"/>
                  <wp:wrapNone/>
                  <wp:docPr id="17" name="图片_77"/>
                  <wp:cNvGraphicFramePr/>
                  <a:graphic xmlns:a="http://schemas.openxmlformats.org/drawingml/2006/main">
                    <a:graphicData uri="http://schemas.openxmlformats.org/drawingml/2006/picture">
                      <pic:pic xmlns:pic="http://schemas.openxmlformats.org/drawingml/2006/picture">
                        <pic:nvPicPr>
                          <pic:cNvPr id="17" name="图片_77"/>
                          <pic:cNvPicPr/>
                        </pic:nvPicPr>
                        <pic:blipFill>
                          <a:blip r:embed="rId23"/>
                          <a:stretch>
                            <a:fillRect/>
                          </a:stretch>
                        </pic:blipFill>
                        <pic:spPr>
                          <a:xfrm>
                            <a:off x="0" y="0"/>
                            <a:ext cx="622935" cy="624205"/>
                          </a:xfrm>
                          <a:prstGeom prst="rect">
                            <a:avLst/>
                          </a:prstGeom>
                          <a:noFill/>
                          <a:ln>
                            <a:noFill/>
                          </a:ln>
                        </pic:spPr>
                      </pic:pic>
                    </a:graphicData>
                  </a:graphic>
                </wp:anchor>
              </w:drawing>
            </w:r>
          </w:p>
        </w:tc>
      </w:tr>
      <w:tr w14:paraId="4CE3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A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3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史密斯机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7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773A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2912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1、主架使用≥100mm×50mm×3mm光亮平椭圆钢管管材；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3、设计符合人体运动生理学和人体工学原理；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4、12档调位；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不锈钢杠铃片架及杠铃杆架；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6、锻炼部位：股外侧肌、股直肌、半膜肌等肌肉群；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7、展开尺寸≥2235*1495*2230mm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BF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241300</wp:posOffset>
                  </wp:positionV>
                  <wp:extent cx="666115" cy="845820"/>
                  <wp:effectExtent l="0" t="0" r="635" b="11430"/>
                  <wp:wrapNone/>
                  <wp:docPr id="23" name="图片_42"/>
                  <wp:cNvGraphicFramePr/>
                  <a:graphic xmlns:a="http://schemas.openxmlformats.org/drawingml/2006/main">
                    <a:graphicData uri="http://schemas.openxmlformats.org/drawingml/2006/picture">
                      <pic:pic xmlns:pic="http://schemas.openxmlformats.org/drawingml/2006/picture">
                        <pic:nvPicPr>
                          <pic:cNvPr id="23" name="图片_42"/>
                          <pic:cNvPicPr/>
                        </pic:nvPicPr>
                        <pic:blipFill>
                          <a:blip r:embed="rId24"/>
                          <a:stretch>
                            <a:fillRect/>
                          </a:stretch>
                        </pic:blipFill>
                        <pic:spPr>
                          <a:xfrm>
                            <a:off x="0" y="0"/>
                            <a:ext cx="666115" cy="845820"/>
                          </a:xfrm>
                          <a:prstGeom prst="rect">
                            <a:avLst/>
                          </a:prstGeom>
                          <a:noFill/>
                          <a:ln>
                            <a:noFill/>
                          </a:ln>
                        </pic:spPr>
                      </pic:pic>
                    </a:graphicData>
                  </a:graphic>
                </wp:anchor>
              </w:drawing>
            </w:r>
          </w:p>
        </w:tc>
      </w:tr>
      <w:tr w14:paraId="3A28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2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B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小飞鸟</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4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E810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2D18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1、主架管材均采用≥100×50×δ3mm光亮平椭圆管材。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2、镀硬铬导杆，静音顺滑，耐磨耐腐；400磅精加工配重选择片, 材质为全钢，耐冲击，表面进行六面加工后电泳处理，选择插销选用强磁插销，调节方便，安全可靠。                                                                                            3、配重选择片两侧铁皮护罩，护罩表面经过静电喷涂处理，厚度≥δ1.2mm，可有效保护人体不受伤害；采用银色PVC边条镶边，外观美观大方。内侧护罩配有运动说明图片，上面有操作说明、起止动作说明图、注意事项、锻炼部位图示等，直观明了简单易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4、航空级自润滑含油钢丝绳直径φ6mm，保证有效使用寿命不小于50万次；高强度塑料滑轮，直径≥φ90mm/114mm，操作舒适，有静音效果，同时配有防护罩。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6、左右把手可调节高度，训练多样，多把位引体向上，科学合理。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7、底脚配高稳定性橡胶脚垫,可保护室内地板。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8、连接部位采用8.8级镀蓝白锌螺钉，使器材连接稳固。                                                                             9、所有电镀件均通过48小时盐雾测试。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10、设计符合人体运动生理学和人体工学原理。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11、人性化调整设计使用者可轻易操作调整。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12、占地尺寸≥1600*1085*2352mm；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13、机台净重量（kg）≥380㎏；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0A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598170</wp:posOffset>
                  </wp:positionV>
                  <wp:extent cx="562610" cy="822960"/>
                  <wp:effectExtent l="0" t="0" r="8890" b="15240"/>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25"/>
                          <a:stretch>
                            <a:fillRect/>
                          </a:stretch>
                        </pic:blipFill>
                        <pic:spPr>
                          <a:xfrm>
                            <a:off x="0" y="0"/>
                            <a:ext cx="562610" cy="822960"/>
                          </a:xfrm>
                          <a:prstGeom prst="rect">
                            <a:avLst/>
                          </a:prstGeom>
                          <a:noFill/>
                          <a:ln>
                            <a:noFill/>
                          </a:ln>
                        </pic:spPr>
                      </pic:pic>
                    </a:graphicData>
                  </a:graphic>
                </wp:anchor>
              </w:drawing>
            </w:r>
          </w:p>
        </w:tc>
      </w:tr>
      <w:tr w14:paraId="24EA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6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0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哑铃架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B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9E09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7BB1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可放置10对哑铃。哑铃架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1、主架管材采用≥100×50×δ2.5mm光亮平椭圆管材。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3、高稳定性塑料底垫,可保护室内地板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4、独特的弯管设计，增强稳固性，并提供良好的视觉效果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5、塑料哑铃托盘可有效降低噪音，防止磕碰；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6、连接部位采用高强度8.8级镀铬螺栓，使机器连接稳固；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7、净重：≥70KG，包含200公斤哑铃，展开尺寸≥2480*740*790mm。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B7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wp:posOffset>
                  </wp:positionH>
                  <wp:positionV relativeFrom="paragraph">
                    <wp:posOffset>506730</wp:posOffset>
                  </wp:positionV>
                  <wp:extent cx="576580" cy="340360"/>
                  <wp:effectExtent l="0" t="0" r="13970" b="2540"/>
                  <wp:wrapNone/>
                  <wp:docPr id="22" name="图片_76"/>
                  <wp:cNvGraphicFramePr/>
                  <a:graphic xmlns:a="http://schemas.openxmlformats.org/drawingml/2006/main">
                    <a:graphicData uri="http://schemas.openxmlformats.org/drawingml/2006/picture">
                      <pic:pic xmlns:pic="http://schemas.openxmlformats.org/drawingml/2006/picture">
                        <pic:nvPicPr>
                          <pic:cNvPr id="22" name="图片_76"/>
                          <pic:cNvPicPr/>
                        </pic:nvPicPr>
                        <pic:blipFill>
                          <a:blip r:embed="rId26"/>
                          <a:stretch>
                            <a:fillRect/>
                          </a:stretch>
                        </pic:blipFill>
                        <pic:spPr>
                          <a:xfrm>
                            <a:off x="0" y="0"/>
                            <a:ext cx="576580" cy="340360"/>
                          </a:xfrm>
                          <a:prstGeom prst="rect">
                            <a:avLst/>
                          </a:prstGeom>
                          <a:noFill/>
                          <a:ln>
                            <a:noFill/>
                          </a:ln>
                        </pic:spPr>
                      </pic:pic>
                    </a:graphicData>
                  </a:graphic>
                </wp:anchor>
              </w:drawing>
            </w:r>
          </w:p>
        </w:tc>
      </w:tr>
      <w:tr w14:paraId="3D89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C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4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可调式腹肌板</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8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51F81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4E82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1、主架管材采用≥100×50×δ3.0mm光亮平椭圆管材。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3、豪华高密度海棉坐垫, 嵌入式开槽结构，高耐磨PU革厚度为1.2mm以上，海绵厚度7公分以上，密度为100°，底板厚度不小于2公分。高档PU发泡泡棉。高稳定性塑料底垫,可保护室内地板。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4、把手端部采用经过氧化处理的铝质封盖，表面光亮美观；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5、把手和滚轮的配合设计实现移动之便利性；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6、人性化调整设计使用者可轻易操作调整；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7、设计符合人体运动生理学和人体工学原理；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8、多角度调节设计；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9、连接部位采用高强度8.8级镀铬螺钉，使器材连接稳固；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10、净重：≥54KG；展开尺寸≥1430*750*450mm。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17D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539750</wp:posOffset>
                  </wp:positionV>
                  <wp:extent cx="657860" cy="523240"/>
                  <wp:effectExtent l="0" t="0" r="8890" b="10160"/>
                  <wp:wrapNone/>
                  <wp:docPr id="25" name="图片_19_SpCnt_1"/>
                  <wp:cNvGraphicFramePr/>
                  <a:graphic xmlns:a="http://schemas.openxmlformats.org/drawingml/2006/main">
                    <a:graphicData uri="http://schemas.openxmlformats.org/drawingml/2006/picture">
                      <pic:pic xmlns:pic="http://schemas.openxmlformats.org/drawingml/2006/picture">
                        <pic:nvPicPr>
                          <pic:cNvPr id="25" name="图片_19_SpCnt_1"/>
                          <pic:cNvPicPr/>
                        </pic:nvPicPr>
                        <pic:blipFill>
                          <a:blip r:embed="rId27"/>
                          <a:stretch>
                            <a:fillRect/>
                          </a:stretch>
                        </pic:blipFill>
                        <pic:spPr>
                          <a:xfrm>
                            <a:off x="0" y="0"/>
                            <a:ext cx="657860" cy="523240"/>
                          </a:xfrm>
                          <a:prstGeom prst="rect">
                            <a:avLst/>
                          </a:prstGeom>
                          <a:noFill/>
                          <a:ln>
                            <a:noFill/>
                          </a:ln>
                        </pic:spPr>
                      </pic:pic>
                    </a:graphicData>
                  </a:graphic>
                </wp:anchor>
              </w:drawing>
            </w:r>
          </w:p>
        </w:tc>
      </w:tr>
      <w:tr w14:paraId="3108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8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6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杠铃片</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6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719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6B3A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1、十二边形设计，不易滚动、易拆装；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2、材质：主要材料是铸铁，外部橡胶合制而成，经过特殊工艺处理，因此无酸、腐，或刺激性异味，但有些许橡胶原味。橡胶表面柔软富有弹性、不伤害地面、不冰手。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50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7305" cy="34925"/>
                  <wp:effectExtent l="0" t="0" r="10795" b="3175"/>
                  <wp:wrapNone/>
                  <wp:docPr id="21" name="图片_65"/>
                  <wp:cNvGraphicFramePr/>
                  <a:graphic xmlns:a="http://schemas.openxmlformats.org/drawingml/2006/main">
                    <a:graphicData uri="http://schemas.openxmlformats.org/drawingml/2006/picture">
                      <pic:pic xmlns:pic="http://schemas.openxmlformats.org/drawingml/2006/picture">
                        <pic:nvPicPr>
                          <pic:cNvPr id="21" name="图片_65"/>
                          <pic:cNvPicPr/>
                        </pic:nvPicPr>
                        <pic:blipFill>
                          <a:blip r:embed="rId28"/>
                          <a:stretch>
                            <a:fillRect/>
                          </a:stretch>
                        </pic:blipFill>
                        <pic:spPr>
                          <a:xfrm>
                            <a:off x="0" y="0"/>
                            <a:ext cx="27305" cy="34925"/>
                          </a:xfrm>
                          <a:prstGeom prst="rect">
                            <a:avLst/>
                          </a:prstGeom>
                          <a:noFill/>
                          <a:ln>
                            <a:noFill/>
                          </a:ln>
                        </pic:spPr>
                      </pic:pic>
                    </a:graphicData>
                  </a:graphic>
                </wp:anchor>
              </w:drawing>
            </w: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67310</wp:posOffset>
                  </wp:positionV>
                  <wp:extent cx="676275" cy="363855"/>
                  <wp:effectExtent l="0" t="0" r="9525" b="17145"/>
                  <wp:wrapNone/>
                  <wp:docPr id="2" name="Picture_32"/>
                  <wp:cNvGraphicFramePr/>
                  <a:graphic xmlns:a="http://schemas.openxmlformats.org/drawingml/2006/main">
                    <a:graphicData uri="http://schemas.openxmlformats.org/drawingml/2006/picture">
                      <pic:pic xmlns:pic="http://schemas.openxmlformats.org/drawingml/2006/picture">
                        <pic:nvPicPr>
                          <pic:cNvPr id="2" name="Picture_32"/>
                          <pic:cNvPicPr/>
                        </pic:nvPicPr>
                        <pic:blipFill>
                          <a:blip r:embed="rId29"/>
                          <a:stretch>
                            <a:fillRect/>
                          </a:stretch>
                        </pic:blipFill>
                        <pic:spPr>
                          <a:xfrm>
                            <a:off x="0" y="0"/>
                            <a:ext cx="676275" cy="363855"/>
                          </a:xfrm>
                          <a:prstGeom prst="rect">
                            <a:avLst/>
                          </a:prstGeom>
                          <a:noFill/>
                          <a:ln>
                            <a:noFill/>
                          </a:ln>
                        </pic:spPr>
                      </pic:pic>
                    </a:graphicData>
                  </a:graphic>
                </wp:anchor>
              </w:drawing>
            </w:r>
          </w:p>
        </w:tc>
      </w:tr>
      <w:tr w14:paraId="28E2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6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4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大彩虹乒乓球桌</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6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B876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31CB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5926455</wp:posOffset>
                  </wp:positionH>
                  <wp:positionV relativeFrom="paragraph">
                    <wp:posOffset>42545</wp:posOffset>
                  </wp:positionV>
                  <wp:extent cx="737870" cy="422275"/>
                  <wp:effectExtent l="0" t="0" r="5080" b="15875"/>
                  <wp:wrapNone/>
                  <wp:docPr id="1" name="图片_25_SpCnt_1"/>
                  <wp:cNvGraphicFramePr/>
                  <a:graphic xmlns:a="http://schemas.openxmlformats.org/drawingml/2006/main">
                    <a:graphicData uri="http://schemas.openxmlformats.org/drawingml/2006/picture">
                      <pic:pic xmlns:pic="http://schemas.openxmlformats.org/drawingml/2006/picture">
                        <pic:nvPicPr>
                          <pic:cNvPr id="1" name="图片_25_SpCnt_1"/>
                          <pic:cNvPicPr/>
                        </pic:nvPicPr>
                        <pic:blipFill>
                          <a:blip r:embed="rId30"/>
                          <a:stretch>
                            <a:fillRect/>
                          </a:stretch>
                        </pic:blipFill>
                        <pic:spPr>
                          <a:xfrm>
                            <a:off x="0" y="0"/>
                            <a:ext cx="737870" cy="422275"/>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u w:val="none"/>
                <w:lang w:val="en-US" w:eastAsia="zh-CN" w:bidi="ar"/>
              </w:rPr>
              <w:t>产品符合中国QB/T2700-2005轻工业标准中的成年优等品要求。台面长度不小于2740mm，台面宽度不小于1525mm，台面高度不小于760，拱桥结构，设多重高度调节装置。具有国际比赛使用经历。台印有ITTF标志且通过ITTF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赠送高档球拍1副、高档网架1副、乒乓球1盒。</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C7B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8"/>
                <w:szCs w:val="28"/>
                <w:u w:val="none"/>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-170180</wp:posOffset>
                  </wp:positionV>
                  <wp:extent cx="737870" cy="422275"/>
                  <wp:effectExtent l="0" t="0" r="5080" b="15875"/>
                  <wp:wrapSquare wrapText="bothSides"/>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31"/>
                          <a:stretch>
                            <a:fillRect/>
                          </a:stretch>
                        </pic:blipFill>
                        <pic:spPr>
                          <a:xfrm>
                            <a:off x="0" y="0"/>
                            <a:ext cx="737870" cy="422275"/>
                          </a:xfrm>
                          <a:prstGeom prst="rect">
                            <a:avLst/>
                          </a:prstGeom>
                          <a:noFill/>
                          <a:ln w="9525">
                            <a:noFill/>
                          </a:ln>
                        </pic:spPr>
                      </pic:pic>
                    </a:graphicData>
                  </a:graphic>
                </wp:anchor>
              </w:drawing>
            </w:r>
          </w:p>
        </w:tc>
      </w:tr>
      <w:tr w14:paraId="32C2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D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C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启东儿童乐园地胶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8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02F2A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4580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前考察现场，方案待业主确认后进场。胶破损均为侧面沥青基础破损，连同塑胶一起脱落，采用最经济合理的施工方案为：切除横向20cm宽度塑胶，清理底下沥青基础，打磨凿除破损沥青，重新铺设2cm厚度EPDM塑胶，经统计破损部位共记约300米*0.2米宽，工程量合计为约60平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所投产品非固体原材料：聚氨酯胶水满足阻燃性能Ⅰ（级），气味等级（级）≤3。提供有CMA和CNAS认证标识国家级质量监督检验机构出具依据GB36246-2018《中小学合成材料面层运动场地》标准出具的原色检测报告，其中检测报告中样品特性和状态需为“液体”；并且报告中有明确标识此项检测判定为合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2、投标人所投产品非固体原材料： 18种多环芳烃总和mg/kg≤50，苯并［a］芘（mg/kg）≤1.0。提供有CMA和CNAS认证标识国家级质量监督检验机构出具依据GB36246-2018《中小学合成材料面层运动场地》标准出具的原色检测报告，其中检测报告中样品特性和状态需为“液体”；并且报告中有明确标识此项检测判定为合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3、投标人所投产品非固体原材料：聚氨酯胶水满足4,4'-二氨基-3,3'-二氯二苯甲烷（MOCA）（g/kg）≤1.0，游离二苯基甲烷二异氰酸酯（MDI）（g/kg）≤1.0，总挥发性有机化合物（TV0C）mg/ (m2 • h)≤5.0。提供有CMA和CNAS认证标识国家级质量监督检验机构出具依据GB36246-2018《中小学合成材料面层运动场地》标准出具的原色检测报告，其中检测报告中样品特性和状态需为“液体”；并且报告中有明确标识此项检测判定为合格。</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DE9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8"/>
                <w:szCs w:val="28"/>
                <w:u w:val="none"/>
              </w:rPr>
            </w:pPr>
          </w:p>
        </w:tc>
      </w:tr>
      <w:tr w14:paraId="7213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0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5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体质测试系统一体化服务</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4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887F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13AB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启东市国民体质测定与运动健身指导站第三方营运服务费用，完成不少于3000人有效的体质测试并建立测评档案，其中跟踪指导不少于300人，提供运动促健康服务1000人次，提供在线体质测定预约和查询服务，提供软件设计及维护（官方网站），并在媒体及现场公布预约和查询方式，被测试人员由成交供应商自行组织并测试（测试对象：启东市常住居民），测试器材维护、维修等相关费用包含在合同价中。有完整记录。测试服务需在2025年10月份完成。另：包含小程序一年得升级服务，提供数据报表、以及各器材的维护保养。</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CEF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8"/>
                <w:szCs w:val="28"/>
                <w:u w:val="none"/>
              </w:rPr>
            </w:pPr>
          </w:p>
        </w:tc>
      </w:tr>
      <w:tr w14:paraId="0B10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1467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【特别提醒】1、1-24项健身器材品牌必须为同一品牌，1-13项通过经国家批准的器材质量认证机构的产品质量认证证书、有效期内完整的相关证明材料的复印件加盖公章。</w:t>
            </w:r>
          </w:p>
          <w:p w14:paraId="06D62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2、体质测试系统一体化服务，需完成3000人体质测定有效数据，其中跟踪指导不少于300人，提供在线体质测定预约查询服务平台，被测试人员由成交供应商自行组织并测试（测试对象：启东市常住居民），测试器材维护、维修等相关一切费用包含在合同价中。</w:t>
            </w:r>
          </w:p>
          <w:p w14:paraId="0F063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3、室外健身设施器材中标方负责器材全部录入省全民健身设施管理维护信息平台，绑定站点和器材。</w:t>
            </w:r>
          </w:p>
          <w:p w14:paraId="433AB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16"/>
                <w:szCs w:val="16"/>
                <w:u w:val="none"/>
                <w:lang w:val="en-US" w:eastAsia="zh-CN" w:bidi="ar"/>
              </w:rPr>
              <w:t xml:space="preserve"> 注意：因各产品命名方式不同，投标人所投产品须满足参考图片所示功能要求。对于固定参数与采购需求中技术参数一致视为无偏离，高于固定参数与采购需求中技术参数的为正偏离，低于固定参数与采购需求中技术参数的负偏离，负偏离为不满足招标要求。</w:t>
            </w:r>
          </w:p>
        </w:tc>
      </w:tr>
    </w:tbl>
    <w:p w14:paraId="098E1BC2">
      <w:pPr>
        <w:keepNext w:val="0"/>
        <w:keepLines w:val="0"/>
        <w:pageBreakBefore w:val="0"/>
        <w:wordWrap/>
        <w:overflowPunct/>
        <w:bidi w:val="0"/>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、报价供应商的要求：</w:t>
      </w:r>
    </w:p>
    <w:p w14:paraId="15DD18CB">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1.符合《中华人民共和国政府采购法》第二十二条的规定；</w:t>
      </w:r>
    </w:p>
    <w:p w14:paraId="10E9BD02">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2.报价供应商具有合格的营业执照。</w:t>
      </w:r>
    </w:p>
    <w:p w14:paraId="3620CEDE">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3.本项目不接受任何形式的联合体投标。</w:t>
      </w:r>
    </w:p>
    <w:p w14:paraId="10EF3B0C">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4.未被“信用中国”网站（www.creditchina.gov.cn）列入失信被执行人、重大税收违法案件当事人名单、政府采购严重失信行为记录名单；</w:t>
      </w:r>
    </w:p>
    <w:p w14:paraId="2FC377F6">
      <w:pPr>
        <w:keepNext w:val="0"/>
        <w:keepLines w:val="0"/>
        <w:pageBreakBefore w:val="0"/>
        <w:wordWrap/>
        <w:overflowPunct/>
        <w:bidi w:val="0"/>
        <w:spacing w:line="480" w:lineRule="exact"/>
        <w:ind w:firstLine="480"/>
        <w:rPr>
          <w:rFonts w:ascii="宋体" w:hAnsi="宋体" w:eastAsia="宋体" w:cs="宋体"/>
          <w:sz w:val="24"/>
          <w:szCs w:val="24"/>
        </w:rPr>
      </w:pPr>
      <w:r>
        <w:rPr>
          <w:rFonts w:hint="eastAsia" w:ascii="宋体" w:hAnsi="宋体" w:eastAsia="宋体" w:cs="宋体"/>
          <w:sz w:val="24"/>
          <w:szCs w:val="24"/>
        </w:rPr>
        <w:t>三、约定事项</w:t>
      </w:r>
    </w:p>
    <w:p w14:paraId="0283E476">
      <w:pPr>
        <w:keepNext w:val="0"/>
        <w:keepLines w:val="0"/>
        <w:pageBreakBefore w:val="0"/>
        <w:wordWrap/>
        <w:overflowPunct/>
        <w:bidi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1.参与报价的供应商于202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日17:00前，需将法人营业执照复印件</w:t>
      </w:r>
      <w:r>
        <w:rPr>
          <w:rFonts w:hint="eastAsia" w:ascii="宋体" w:hAnsi="宋体" w:eastAsia="宋体" w:cs="宋体"/>
          <w:sz w:val="24"/>
          <w:szCs w:val="24"/>
          <w:lang w:eastAsia="zh-CN"/>
        </w:rPr>
        <w:t>、</w:t>
      </w:r>
      <w:r>
        <w:rPr>
          <w:rFonts w:hint="eastAsia" w:ascii="宋体" w:hAnsi="宋体" w:eastAsia="宋体" w:cs="宋体"/>
          <w:sz w:val="24"/>
          <w:szCs w:val="24"/>
        </w:rPr>
        <w:t>市场询价表</w:t>
      </w:r>
      <w:r>
        <w:rPr>
          <w:rFonts w:hint="eastAsia" w:ascii="宋体" w:hAnsi="宋体" w:eastAsia="宋体" w:cs="宋体"/>
          <w:sz w:val="24"/>
          <w:szCs w:val="24"/>
          <w:lang w:val="en-US" w:eastAsia="zh-CN"/>
        </w:rPr>
        <w:t>、相关证书及证明材料的</w:t>
      </w:r>
      <w:r>
        <w:rPr>
          <w:rFonts w:hint="eastAsia" w:ascii="宋体" w:hAnsi="宋体" w:eastAsia="宋体" w:cs="宋体"/>
          <w:sz w:val="24"/>
          <w:szCs w:val="24"/>
        </w:rPr>
        <w:t>复印件加盖单位公章扫描发送至</w:t>
      </w:r>
      <w:r>
        <w:rPr>
          <w:rFonts w:hint="eastAsia" w:ascii="宋体" w:hAnsi="宋体" w:eastAsia="宋体" w:cs="宋体"/>
          <w:sz w:val="24"/>
          <w:szCs w:val="24"/>
          <w:lang w:val="en-US" w:eastAsia="zh-CN"/>
        </w:rPr>
        <w:t>1246612519</w:t>
      </w:r>
      <w:r>
        <w:rPr>
          <w:rFonts w:hint="eastAsia" w:ascii="宋体" w:hAnsi="宋体" w:eastAsia="宋体" w:cs="宋体"/>
          <w:sz w:val="24"/>
          <w:szCs w:val="24"/>
        </w:rPr>
        <w:t>@qq.com,联系人：</w:t>
      </w:r>
      <w:r>
        <w:rPr>
          <w:rFonts w:hint="eastAsia" w:ascii="宋体" w:hAnsi="宋体" w:eastAsia="宋体" w:cs="宋体"/>
          <w:sz w:val="24"/>
          <w:szCs w:val="24"/>
          <w:lang w:eastAsia="zh-CN"/>
        </w:rPr>
        <w:t>林姝含</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13861971085</w:t>
      </w:r>
      <w:r>
        <w:rPr>
          <w:rFonts w:hint="eastAsia" w:ascii="宋体" w:hAnsi="宋体" w:eastAsia="宋体" w:cs="宋体"/>
          <w:sz w:val="24"/>
          <w:szCs w:val="24"/>
        </w:rPr>
        <w:t>。</w:t>
      </w:r>
    </w:p>
    <w:p w14:paraId="661F5352">
      <w:pPr>
        <w:keepNext w:val="0"/>
        <w:keepLines w:val="0"/>
        <w:pageBreakBefore w:val="0"/>
        <w:wordWrap/>
        <w:overflowPunct/>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市场询价</w:t>
      </w:r>
      <w:r>
        <w:rPr>
          <w:rFonts w:hint="eastAsia" w:ascii="宋体" w:hAnsi="宋体" w:eastAsia="宋体" w:cs="宋体"/>
          <w:sz w:val="24"/>
          <w:szCs w:val="24"/>
        </w:rPr>
        <w:t>必须满足相关技术参数的相关要求，否则视为无效报价。</w:t>
      </w:r>
    </w:p>
    <w:p w14:paraId="352EE642">
      <w:pPr>
        <w:keepNext w:val="0"/>
        <w:keepLines w:val="0"/>
        <w:pageBreakBefore w:val="0"/>
        <w:wordWrap/>
        <w:overflowPunct/>
        <w:bidi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履约保证金</w:t>
      </w:r>
      <w:r>
        <w:rPr>
          <w:rFonts w:hint="eastAsia" w:ascii="宋体" w:hAnsi="宋体" w:eastAsia="宋体" w:cs="宋体"/>
          <w:sz w:val="24"/>
          <w:szCs w:val="24"/>
          <w:lang w:eastAsia="zh-CN"/>
        </w:rPr>
        <w:t>：</w:t>
      </w:r>
      <w:r>
        <w:rPr>
          <w:rFonts w:hint="eastAsia" w:ascii="宋体" w:hAnsi="宋体" w:eastAsia="宋体" w:cs="宋体"/>
          <w:sz w:val="24"/>
          <w:szCs w:val="24"/>
        </w:rPr>
        <w:t>项目</w:t>
      </w:r>
      <w:r>
        <w:rPr>
          <w:rFonts w:hint="eastAsia" w:ascii="宋体" w:hAnsi="宋体" w:eastAsia="宋体" w:cs="宋体"/>
          <w:sz w:val="24"/>
          <w:szCs w:val="24"/>
          <w:lang w:val="en-US" w:eastAsia="zh-CN"/>
        </w:rPr>
        <w:t>合同价</w:t>
      </w:r>
      <w:r>
        <w:rPr>
          <w:rFonts w:hint="eastAsia" w:ascii="宋体" w:hAnsi="宋体" w:eastAsia="宋体" w:cs="宋体"/>
          <w:sz w:val="24"/>
          <w:szCs w:val="24"/>
        </w:rPr>
        <w:t>的10%，中标供应商的履约保证金须在合同签订前汇入采购单位</w:t>
      </w:r>
      <w:r>
        <w:rPr>
          <w:rFonts w:hint="eastAsia" w:ascii="宋体" w:hAnsi="宋体" w:eastAsia="宋体" w:cs="宋体"/>
          <w:sz w:val="24"/>
          <w:szCs w:val="24"/>
          <w:lang w:val="en-US" w:eastAsia="zh-CN"/>
        </w:rPr>
        <w:t>指定</w:t>
      </w:r>
      <w:r>
        <w:rPr>
          <w:rFonts w:hint="eastAsia" w:ascii="宋体" w:hAnsi="宋体" w:eastAsia="宋体" w:cs="宋体"/>
          <w:sz w:val="24"/>
          <w:szCs w:val="24"/>
        </w:rPr>
        <w:t>账户</w:t>
      </w:r>
      <w:r>
        <w:rPr>
          <w:rFonts w:hint="eastAsia" w:ascii="宋体" w:hAnsi="宋体" w:eastAsia="宋体" w:cs="宋体"/>
          <w:sz w:val="24"/>
          <w:szCs w:val="24"/>
          <w:lang w:eastAsia="zh-CN"/>
        </w:rPr>
        <w:t>。</w:t>
      </w:r>
    </w:p>
    <w:p w14:paraId="6A6C82E2">
      <w:pPr>
        <w:keepNext w:val="0"/>
        <w:keepLines w:val="0"/>
        <w:pageBreakBefore w:val="0"/>
        <w:wordWrap/>
        <w:overflowPunct/>
        <w:bidi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4.质保期：</w:t>
      </w:r>
      <w:r>
        <w:rPr>
          <w:rFonts w:hint="eastAsia" w:ascii="宋体" w:hAnsi="宋体" w:eastAsia="宋体" w:cs="宋体"/>
          <w:sz w:val="24"/>
          <w:szCs w:val="24"/>
        </w:rPr>
        <w:t>室外健身器材</w:t>
      </w:r>
      <w:r>
        <w:rPr>
          <w:rFonts w:hint="eastAsia" w:ascii="宋体" w:hAnsi="宋体" w:eastAsia="宋体" w:cs="宋体"/>
          <w:sz w:val="24"/>
          <w:szCs w:val="24"/>
          <w:lang w:eastAsia="zh-CN"/>
        </w:rPr>
        <w:t>（室外健身路径、跷跷板、室外棋牌桌、室外乒乓球台、</w:t>
      </w:r>
      <w:r>
        <w:rPr>
          <w:rFonts w:hint="eastAsia" w:ascii="宋体" w:hAnsi="宋体" w:eastAsia="宋体" w:cs="宋体"/>
          <w:sz w:val="24"/>
          <w:szCs w:val="24"/>
          <w:lang w:val="en-US" w:eastAsia="zh-CN"/>
        </w:rPr>
        <w:t>室外羽毛球架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室内健身器材</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启东儿童乐园地胶质保期为</w:t>
      </w:r>
      <w:r>
        <w:rPr>
          <w:rFonts w:hint="eastAsia" w:ascii="宋体" w:hAnsi="宋体" w:eastAsia="宋体" w:cs="宋体"/>
          <w:sz w:val="24"/>
          <w:szCs w:val="24"/>
          <w:lang w:val="en-US" w:eastAsia="zh-CN"/>
        </w:rPr>
        <w:t>二</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体质测试系统一体化服务为</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6B7D040C">
      <w:pPr>
        <w:keepNext w:val="0"/>
        <w:keepLines w:val="0"/>
        <w:pageBreakBefore w:val="0"/>
        <w:wordWrap/>
        <w:overflowPunct/>
        <w:bidi w:val="0"/>
        <w:spacing w:line="48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5.付款方式：</w:t>
      </w:r>
      <w:r>
        <w:rPr>
          <w:rFonts w:hint="eastAsia" w:ascii="宋体" w:hAnsi="宋体" w:eastAsia="宋体" w:cs="宋体"/>
          <w:sz w:val="24"/>
          <w:szCs w:val="24"/>
          <w:lang w:val="zh-CN"/>
        </w:rPr>
        <w:t>凭启东市市场监督管理局检测合格报告（如有），经验收合格后付合同价的90%（提供一切相关证明材料），余款10%于验收合格满八年后且经采购单位确认后一次性付清。</w:t>
      </w:r>
    </w:p>
    <w:p w14:paraId="5F1E07B3">
      <w:pPr>
        <w:pStyle w:val="4"/>
        <w:keepNext w:val="0"/>
        <w:keepLines w:val="0"/>
        <w:pageBreakBefore w:val="0"/>
        <w:kinsoku w:val="0"/>
        <w:wordWrap/>
        <w:overflowPunct/>
        <w:topLinePunct/>
        <w:autoSpaceDE w:val="0"/>
        <w:autoSpaceDN w:val="0"/>
        <w:bidi w:val="0"/>
        <w:snapToGrid w:val="0"/>
        <w:spacing w:line="480" w:lineRule="exact"/>
        <w:ind w:right="210" w:firstLine="480" w:firstLineChars="200"/>
        <w:contextualSpacing/>
        <w:rPr>
          <w:rFonts w:ascii="宋体" w:hAnsi="宋体" w:eastAsia="宋体" w:cs="宋体"/>
          <w:bCs/>
          <w:szCs w:val="24"/>
          <w:lang w:val="zh-CN"/>
        </w:rPr>
      </w:pPr>
      <w:r>
        <w:rPr>
          <w:rFonts w:hint="eastAsia" w:ascii="宋体" w:hAnsi="宋体" w:eastAsia="宋体" w:cs="宋体"/>
          <w:sz w:val="24"/>
          <w:szCs w:val="24"/>
          <w:lang w:val="en-US" w:eastAsia="zh-CN"/>
        </w:rPr>
        <w:t>6</w:t>
      </w:r>
      <w:r>
        <w:rPr>
          <w:rFonts w:hint="eastAsia" w:ascii="宋体" w:hAnsi="宋体" w:eastAsia="宋体" w:cs="宋体"/>
          <w:szCs w:val="24"/>
        </w:rPr>
        <w:t>.</w:t>
      </w:r>
      <w:r>
        <w:rPr>
          <w:rFonts w:hint="eastAsia" w:ascii="宋体" w:hAnsi="宋体" w:eastAsia="宋体" w:cs="宋体"/>
          <w:bCs/>
          <w:szCs w:val="24"/>
        </w:rPr>
        <w:t>报价费用说</w:t>
      </w:r>
      <w:r>
        <w:rPr>
          <w:rFonts w:hint="eastAsia" w:ascii="宋体" w:hAnsi="宋体" w:eastAsia="宋体" w:cs="宋体"/>
          <w:bCs/>
          <w:szCs w:val="24"/>
          <w:lang w:val="zh-CN"/>
        </w:rPr>
        <w:t>明：</w:t>
      </w:r>
      <w:r>
        <w:rPr>
          <w:rFonts w:hint="eastAsia" w:ascii="宋体" w:hAnsi="宋体" w:eastAsia="宋体" w:cs="宋体"/>
          <w:bCs/>
          <w:szCs w:val="24"/>
        </w:rPr>
        <w:t>为</w:t>
      </w:r>
      <w:r>
        <w:rPr>
          <w:rFonts w:hint="eastAsia" w:ascii="宋体" w:hAnsi="宋体" w:eastAsia="宋体" w:cs="宋体"/>
          <w:bCs/>
          <w:szCs w:val="24"/>
          <w:lang w:val="zh-CN"/>
        </w:rPr>
        <w:t>本项目服务期内所包含的一切费用[包括但不限于服务、货物、货物设计、制造、货物的包装费、运杂费(运抵招标人工地现场)、运输保险费、配套及辅助材料设备费、仓储、运输装缷、原材料涨跌风险费用、人工费上涨风险费用、保险、利润、税金、所需的各种检测验收费用、质保期内维修保养费用、支付给员工的工资和国家强制缴纳的各种社会保障资金、招标代理费，以及供应商认为需要的其他费用等]，投标时一次包定,结算时不再另行追加。</w:t>
      </w:r>
    </w:p>
    <w:p w14:paraId="079C18DD">
      <w:pPr>
        <w:pStyle w:val="4"/>
        <w:keepNext w:val="0"/>
        <w:keepLines w:val="0"/>
        <w:pageBreakBefore w:val="0"/>
        <w:kinsoku w:val="0"/>
        <w:wordWrap/>
        <w:overflowPunct/>
        <w:topLinePunct/>
        <w:autoSpaceDE w:val="0"/>
        <w:autoSpaceDN w:val="0"/>
        <w:bidi w:val="0"/>
        <w:snapToGrid w:val="0"/>
        <w:spacing w:line="480" w:lineRule="exact"/>
        <w:ind w:right="210" w:firstLine="480" w:firstLineChars="200"/>
        <w:contextualSpacing/>
        <w:rPr>
          <w:rFonts w:ascii="宋体" w:hAnsi="宋体" w:eastAsia="宋体" w:cs="宋体"/>
          <w:bCs/>
          <w:szCs w:val="24"/>
          <w:lang w:val="zh-CN"/>
        </w:rPr>
      </w:pPr>
      <w:r>
        <w:rPr>
          <w:rFonts w:hint="eastAsia" w:ascii="宋体" w:hAnsi="宋体" w:eastAsia="宋体" w:cs="宋体"/>
          <w:bCs/>
          <w:szCs w:val="24"/>
          <w:lang w:val="en-US" w:eastAsia="zh-CN"/>
        </w:rPr>
        <w:t>7</w:t>
      </w:r>
      <w:r>
        <w:rPr>
          <w:rFonts w:hint="eastAsia" w:ascii="宋体" w:hAnsi="宋体" w:eastAsia="宋体" w:cs="宋体"/>
          <w:bCs/>
          <w:szCs w:val="24"/>
        </w:rPr>
        <w:t>.</w:t>
      </w:r>
      <w:r>
        <w:rPr>
          <w:rFonts w:hint="eastAsia" w:ascii="宋体" w:hAnsi="宋体" w:eastAsia="宋体" w:cs="宋体"/>
          <w:bCs/>
          <w:szCs w:val="24"/>
          <w:lang w:val="zh-CN"/>
        </w:rPr>
        <w:t>其他：（1）请报价单位认真核算、如实报价，如发现虚假报价的，该单位将被列入采购单位黑名单；（2）本次报价仅作为市场调研用，因此价格仅供参考；（3）本次调研询价不接收质疑函，只接收对本项目的建议。</w:t>
      </w:r>
    </w:p>
    <w:p w14:paraId="3F57DC5D">
      <w:pPr>
        <w:pStyle w:val="4"/>
        <w:kinsoku w:val="0"/>
        <w:topLinePunct/>
        <w:autoSpaceDE w:val="0"/>
        <w:autoSpaceDN w:val="0"/>
        <w:snapToGrid w:val="0"/>
        <w:spacing w:line="312" w:lineRule="auto"/>
        <w:ind w:right="210" w:firstLine="480" w:firstLineChars="200"/>
        <w:contextualSpacing/>
        <w:rPr>
          <w:rFonts w:ascii="宋体" w:hAnsi="宋体" w:eastAsia="宋体" w:cs="宋体"/>
          <w:bCs/>
          <w:szCs w:val="24"/>
          <w:lang w:val="zh-CN"/>
        </w:rPr>
      </w:pPr>
    </w:p>
    <w:p w14:paraId="625EE4B0">
      <w:pPr>
        <w:spacing w:line="312" w:lineRule="auto"/>
        <w:ind w:firstLine="6480" w:firstLineChars="2700"/>
        <w:rPr>
          <w:rFonts w:ascii="宋体" w:hAnsi="宋体" w:eastAsia="宋体" w:cs="宋体"/>
          <w:color w:val="000000"/>
          <w:kern w:val="0"/>
          <w:sz w:val="24"/>
          <w:szCs w:val="24"/>
        </w:rPr>
      </w:pPr>
      <w:r>
        <w:rPr>
          <w:rFonts w:hint="eastAsia" w:ascii="宋体" w:hAnsi="宋体" w:eastAsia="宋体" w:cs="宋体"/>
          <w:color w:val="000000"/>
          <w:kern w:val="0"/>
          <w:sz w:val="24"/>
          <w:szCs w:val="24"/>
        </w:rPr>
        <w:t>启东市教育体育局</w:t>
      </w:r>
    </w:p>
    <w:p w14:paraId="2E7FD2C6">
      <w:pPr>
        <w:spacing w:line="312" w:lineRule="auto"/>
        <w:ind w:firstLine="6480" w:firstLineChars="2700"/>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日　　</w:t>
      </w:r>
    </w:p>
    <w:p w14:paraId="53FACA48">
      <w:pPr>
        <w:pStyle w:val="5"/>
        <w:rPr>
          <w:rFonts w:ascii="宋体" w:hAnsi="宋体" w:eastAsia="宋体" w:cs="宋体"/>
          <w:color w:val="000000"/>
          <w:szCs w:val="24"/>
        </w:rPr>
      </w:pPr>
    </w:p>
    <w:p w14:paraId="134467E4">
      <w:pPr>
        <w:rPr>
          <w:rFonts w:ascii="宋体" w:hAnsi="宋体" w:eastAsia="宋体" w:cs="宋体"/>
          <w:color w:val="000000"/>
          <w:kern w:val="0"/>
          <w:sz w:val="24"/>
          <w:szCs w:val="24"/>
        </w:rPr>
      </w:pPr>
    </w:p>
    <w:p w14:paraId="61FD29EB">
      <w:pPr>
        <w:pStyle w:val="5"/>
        <w:rPr>
          <w:rFonts w:ascii="宋体" w:hAnsi="宋体" w:eastAsia="宋体" w:cs="宋体"/>
          <w:color w:val="000000"/>
          <w:szCs w:val="24"/>
        </w:rPr>
      </w:pPr>
    </w:p>
    <w:p w14:paraId="70D66BB3">
      <w:pPr>
        <w:rPr>
          <w:rFonts w:ascii="宋体" w:hAnsi="宋体" w:eastAsia="宋体" w:cs="宋体"/>
          <w:color w:val="000000"/>
          <w:kern w:val="0"/>
          <w:sz w:val="24"/>
          <w:szCs w:val="24"/>
        </w:rPr>
      </w:pPr>
    </w:p>
    <w:p w14:paraId="39959599">
      <w:pPr>
        <w:pStyle w:val="5"/>
        <w:rPr>
          <w:rFonts w:ascii="宋体" w:hAnsi="宋体" w:eastAsia="宋体" w:cs="宋体"/>
          <w:color w:val="000000"/>
          <w:szCs w:val="24"/>
        </w:rPr>
      </w:pPr>
    </w:p>
    <w:p w14:paraId="459720D4">
      <w:pPr>
        <w:rPr>
          <w:rFonts w:ascii="宋体" w:hAnsi="宋体" w:eastAsia="宋体" w:cs="宋体"/>
          <w:color w:val="000000"/>
          <w:kern w:val="0"/>
          <w:sz w:val="24"/>
          <w:szCs w:val="24"/>
        </w:rPr>
      </w:pPr>
      <w:bookmarkStart w:id="0" w:name="_GoBack"/>
      <w:bookmarkEnd w:id="0"/>
    </w:p>
    <w:p w14:paraId="13AA1E18">
      <w:pPr>
        <w:pStyle w:val="5"/>
        <w:rPr>
          <w:rFonts w:ascii="宋体" w:hAnsi="宋体" w:eastAsia="宋体" w:cs="宋体"/>
          <w:color w:val="000000"/>
          <w:szCs w:val="24"/>
        </w:rPr>
      </w:pPr>
    </w:p>
    <w:p w14:paraId="5EF6A604">
      <w:pPr>
        <w:rPr>
          <w:rFonts w:ascii="宋体" w:hAnsi="宋体" w:eastAsia="宋体" w:cs="宋体"/>
          <w:color w:val="000000"/>
          <w:kern w:val="0"/>
          <w:sz w:val="24"/>
          <w:szCs w:val="24"/>
        </w:rPr>
      </w:pPr>
    </w:p>
    <w:p w14:paraId="6D692343">
      <w:pPr>
        <w:pStyle w:val="10"/>
        <w:ind w:firstLine="480"/>
        <w:rPr>
          <w:rFonts w:ascii="宋体" w:hAnsi="宋体" w:eastAsia="宋体" w:cs="宋体"/>
          <w:color w:val="000000"/>
          <w:kern w:val="0"/>
          <w:sz w:val="24"/>
          <w:szCs w:val="24"/>
        </w:rPr>
      </w:pPr>
    </w:p>
    <w:p w14:paraId="5127809D">
      <w:pPr>
        <w:pStyle w:val="10"/>
        <w:ind w:firstLine="480"/>
        <w:rPr>
          <w:rFonts w:ascii="宋体" w:hAnsi="宋体" w:eastAsia="宋体" w:cs="宋体"/>
          <w:color w:val="000000"/>
          <w:kern w:val="0"/>
          <w:sz w:val="24"/>
          <w:szCs w:val="24"/>
        </w:rPr>
      </w:pPr>
    </w:p>
    <w:p w14:paraId="3786C123">
      <w:pPr>
        <w:pStyle w:val="10"/>
        <w:ind w:firstLine="480"/>
        <w:rPr>
          <w:rFonts w:ascii="宋体" w:hAnsi="宋体" w:eastAsia="宋体" w:cs="宋体"/>
          <w:color w:val="000000"/>
          <w:kern w:val="0"/>
          <w:sz w:val="24"/>
          <w:szCs w:val="24"/>
        </w:rPr>
      </w:pPr>
    </w:p>
    <w:p w14:paraId="601E01AC">
      <w:pPr>
        <w:pStyle w:val="10"/>
        <w:ind w:firstLine="480"/>
        <w:rPr>
          <w:rFonts w:ascii="宋体" w:hAnsi="宋体" w:eastAsia="宋体" w:cs="宋体"/>
          <w:color w:val="000000"/>
          <w:kern w:val="0"/>
          <w:sz w:val="24"/>
          <w:szCs w:val="24"/>
        </w:rPr>
      </w:pPr>
    </w:p>
    <w:p w14:paraId="202887EF">
      <w:pPr>
        <w:pStyle w:val="10"/>
        <w:ind w:firstLine="480"/>
        <w:rPr>
          <w:rFonts w:ascii="宋体" w:hAnsi="宋体" w:eastAsia="宋体" w:cs="宋体"/>
          <w:color w:val="000000"/>
          <w:kern w:val="0"/>
          <w:sz w:val="24"/>
          <w:szCs w:val="24"/>
        </w:rPr>
      </w:pPr>
    </w:p>
    <w:p w14:paraId="16C339AE">
      <w:pPr>
        <w:pStyle w:val="10"/>
        <w:ind w:firstLine="480"/>
        <w:rPr>
          <w:rFonts w:ascii="宋体" w:hAnsi="宋体" w:eastAsia="宋体" w:cs="宋体"/>
          <w:color w:val="000000"/>
          <w:kern w:val="0"/>
          <w:sz w:val="24"/>
          <w:szCs w:val="24"/>
        </w:rPr>
      </w:pPr>
    </w:p>
    <w:p w14:paraId="43951191">
      <w:pPr>
        <w:pStyle w:val="5"/>
        <w:rPr>
          <w:rFonts w:ascii="宋体" w:hAnsi="宋体" w:eastAsia="宋体" w:cs="宋体"/>
          <w:color w:val="000000"/>
          <w:szCs w:val="24"/>
        </w:rPr>
      </w:pPr>
    </w:p>
    <w:p w14:paraId="3EF8E930">
      <w:pPr>
        <w:rPr>
          <w:rFonts w:ascii="宋体" w:hAnsi="宋体" w:eastAsia="宋体" w:cs="宋体"/>
          <w:color w:val="000000"/>
          <w:kern w:val="0"/>
          <w:sz w:val="24"/>
          <w:szCs w:val="24"/>
        </w:rPr>
      </w:pPr>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5813"/>
    <w:multiLevelType w:val="singleLevel"/>
    <w:tmpl w:val="06245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0NjBmYzQ3MmI1OTAwNzA2MTk1ZWM1ZjZmMWYxYTEifQ=="/>
  </w:docVars>
  <w:rsids>
    <w:rsidRoot w:val="00D76A3E"/>
    <w:rsid w:val="00036CF9"/>
    <w:rsid w:val="00107471"/>
    <w:rsid w:val="00180C3A"/>
    <w:rsid w:val="001B1D6F"/>
    <w:rsid w:val="001F5DAE"/>
    <w:rsid w:val="00324ECF"/>
    <w:rsid w:val="003A0B82"/>
    <w:rsid w:val="00506D64"/>
    <w:rsid w:val="00673C05"/>
    <w:rsid w:val="00704341"/>
    <w:rsid w:val="00917D1F"/>
    <w:rsid w:val="00B57344"/>
    <w:rsid w:val="00C864EE"/>
    <w:rsid w:val="00D76A3E"/>
    <w:rsid w:val="00E174E3"/>
    <w:rsid w:val="00F72B97"/>
    <w:rsid w:val="026F2F14"/>
    <w:rsid w:val="0FA74F14"/>
    <w:rsid w:val="10B504D1"/>
    <w:rsid w:val="12902BB3"/>
    <w:rsid w:val="14524026"/>
    <w:rsid w:val="15E55150"/>
    <w:rsid w:val="195919B3"/>
    <w:rsid w:val="1A9D7E39"/>
    <w:rsid w:val="1C424981"/>
    <w:rsid w:val="1E0353FA"/>
    <w:rsid w:val="1F034C5D"/>
    <w:rsid w:val="1FDB4453"/>
    <w:rsid w:val="20721F9A"/>
    <w:rsid w:val="20E26732"/>
    <w:rsid w:val="22171A55"/>
    <w:rsid w:val="2495085D"/>
    <w:rsid w:val="26296BB1"/>
    <w:rsid w:val="27385ECC"/>
    <w:rsid w:val="296527B3"/>
    <w:rsid w:val="29AC3E97"/>
    <w:rsid w:val="2B987C8F"/>
    <w:rsid w:val="312D57A8"/>
    <w:rsid w:val="313E4DA5"/>
    <w:rsid w:val="34E83B0D"/>
    <w:rsid w:val="35763B63"/>
    <w:rsid w:val="358C0FCE"/>
    <w:rsid w:val="3681480E"/>
    <w:rsid w:val="37041058"/>
    <w:rsid w:val="39221294"/>
    <w:rsid w:val="3F9149CA"/>
    <w:rsid w:val="44C4554D"/>
    <w:rsid w:val="4602618F"/>
    <w:rsid w:val="46983A1B"/>
    <w:rsid w:val="46C40504"/>
    <w:rsid w:val="498631E1"/>
    <w:rsid w:val="4A23175A"/>
    <w:rsid w:val="4AAC764D"/>
    <w:rsid w:val="4FEE65F2"/>
    <w:rsid w:val="51A2446A"/>
    <w:rsid w:val="51A51876"/>
    <w:rsid w:val="51E74219"/>
    <w:rsid w:val="54ED0C26"/>
    <w:rsid w:val="55AC0AE1"/>
    <w:rsid w:val="589A10C5"/>
    <w:rsid w:val="599442D1"/>
    <w:rsid w:val="59B77A55"/>
    <w:rsid w:val="5A8C4FF5"/>
    <w:rsid w:val="5BE82147"/>
    <w:rsid w:val="5C9179B0"/>
    <w:rsid w:val="612D7B03"/>
    <w:rsid w:val="65A35B51"/>
    <w:rsid w:val="671302D4"/>
    <w:rsid w:val="699B37A5"/>
    <w:rsid w:val="6ABD25D7"/>
    <w:rsid w:val="6C3F1F13"/>
    <w:rsid w:val="6FD8589E"/>
    <w:rsid w:val="727E6F0A"/>
    <w:rsid w:val="73F73418"/>
    <w:rsid w:val="74277859"/>
    <w:rsid w:val="77B6705B"/>
    <w:rsid w:val="78EF3908"/>
    <w:rsid w:val="7AED2B18"/>
    <w:rsid w:val="7D0F0E8A"/>
    <w:rsid w:val="7D695CC0"/>
    <w:rsid w:val="7E375D7F"/>
    <w:rsid w:val="7E747B3F"/>
    <w:rsid w:val="7F4E6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textAlignment w:val="baseline"/>
    </w:pPr>
    <w:rPr>
      <w:kern w:val="0"/>
      <w:sz w:val="24"/>
    </w:rPr>
  </w:style>
  <w:style w:type="paragraph" w:styleId="5">
    <w:name w:val="Body Text"/>
    <w:basedOn w:val="1"/>
    <w:next w:val="1"/>
    <w:link w:val="28"/>
    <w:autoRedefine/>
    <w:qFormat/>
    <w:uiPriority w:val="0"/>
    <w:rPr>
      <w:rFonts w:ascii="仿宋_GB2312" w:hAnsi="Times New Roman" w:eastAsia="仿宋_GB2312" w:cs="Times New Roman"/>
      <w:kern w:val="0"/>
      <w:sz w:val="24"/>
      <w:szCs w:val="20"/>
    </w:rPr>
  </w:style>
  <w:style w:type="paragraph" w:styleId="6">
    <w:name w:val="Body Text Indent"/>
    <w:basedOn w:val="1"/>
    <w:unhideWhenUsed/>
    <w:qFormat/>
    <w:uiPriority w:val="0"/>
    <w:pPr>
      <w:spacing w:after="120"/>
      <w:ind w:left="420" w:leftChars="200"/>
    </w:pPr>
  </w:style>
  <w:style w:type="paragraph" w:styleId="7">
    <w:name w:val="footer"/>
    <w:basedOn w:val="1"/>
    <w:link w:val="26"/>
    <w:autoRedefine/>
    <w:unhideWhenUsed/>
    <w:qFormat/>
    <w:uiPriority w:val="99"/>
    <w:pPr>
      <w:tabs>
        <w:tab w:val="center" w:pos="4153"/>
        <w:tab w:val="right" w:pos="8306"/>
      </w:tabs>
      <w:snapToGrid w:val="0"/>
      <w:jc w:val="left"/>
    </w:pPr>
    <w:rPr>
      <w:sz w:val="18"/>
      <w:szCs w:val="18"/>
    </w:r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paragraph" w:styleId="10">
    <w:name w:val="Body Text First Indent 2"/>
    <w:basedOn w:val="6"/>
    <w:unhideWhenUsed/>
    <w:qFormat/>
    <w:uiPriority w:val="99"/>
    <w:pPr>
      <w:ind w:firstLine="200" w:firstLineChars="200"/>
    </w:pPr>
  </w:style>
  <w:style w:type="character" w:styleId="13">
    <w:name w:val="Strong"/>
    <w:basedOn w:val="12"/>
    <w:autoRedefine/>
    <w:qFormat/>
    <w:uiPriority w:val="22"/>
    <w:rPr>
      <w:b/>
      <w:bCs/>
    </w:rPr>
  </w:style>
  <w:style w:type="character" w:styleId="14">
    <w:name w:val="FollowedHyperlink"/>
    <w:basedOn w:val="12"/>
    <w:autoRedefine/>
    <w:semiHidden/>
    <w:unhideWhenUsed/>
    <w:qFormat/>
    <w:uiPriority w:val="99"/>
    <w:rPr>
      <w:color w:val="800080"/>
      <w:u w:val="none"/>
    </w:rPr>
  </w:style>
  <w:style w:type="character" w:styleId="15">
    <w:name w:val="Emphasis"/>
    <w:basedOn w:val="12"/>
    <w:autoRedefine/>
    <w:qFormat/>
    <w:uiPriority w:val="20"/>
    <w:rPr>
      <w:b/>
      <w:bCs/>
    </w:rPr>
  </w:style>
  <w:style w:type="character" w:styleId="16">
    <w:name w:val="HTML Definition"/>
    <w:basedOn w:val="12"/>
    <w:autoRedefine/>
    <w:semiHidden/>
    <w:unhideWhenUsed/>
    <w:qFormat/>
    <w:uiPriority w:val="99"/>
  </w:style>
  <w:style w:type="character" w:styleId="17">
    <w:name w:val="HTML Typewriter"/>
    <w:basedOn w:val="12"/>
    <w:autoRedefine/>
    <w:semiHidden/>
    <w:unhideWhenUsed/>
    <w:qFormat/>
    <w:uiPriority w:val="99"/>
    <w:rPr>
      <w:rFonts w:hint="default" w:ascii="monospace" w:hAnsi="monospace" w:eastAsia="monospace" w:cs="monospace"/>
      <w:sz w:val="20"/>
    </w:rPr>
  </w:style>
  <w:style w:type="character" w:styleId="18">
    <w:name w:val="HTML Acronym"/>
    <w:basedOn w:val="12"/>
    <w:autoRedefine/>
    <w:semiHidden/>
    <w:unhideWhenUsed/>
    <w:qFormat/>
    <w:uiPriority w:val="99"/>
  </w:style>
  <w:style w:type="character" w:styleId="19">
    <w:name w:val="HTML Variable"/>
    <w:basedOn w:val="12"/>
    <w:autoRedefine/>
    <w:semiHidden/>
    <w:unhideWhenUsed/>
    <w:qFormat/>
    <w:uiPriority w:val="99"/>
  </w:style>
  <w:style w:type="character" w:styleId="20">
    <w:name w:val="Hyperlink"/>
    <w:basedOn w:val="12"/>
    <w:autoRedefine/>
    <w:semiHidden/>
    <w:unhideWhenUsed/>
    <w:qFormat/>
    <w:uiPriority w:val="99"/>
    <w:rPr>
      <w:color w:val="0000FF"/>
      <w:u w:val="single"/>
    </w:rPr>
  </w:style>
  <w:style w:type="character" w:styleId="21">
    <w:name w:val="HTML Code"/>
    <w:basedOn w:val="12"/>
    <w:autoRedefine/>
    <w:semiHidden/>
    <w:unhideWhenUsed/>
    <w:qFormat/>
    <w:uiPriority w:val="99"/>
    <w:rPr>
      <w:rFonts w:hint="default" w:ascii="monospace" w:hAnsi="monospace" w:eastAsia="monospace" w:cs="monospace"/>
      <w:sz w:val="20"/>
    </w:rPr>
  </w:style>
  <w:style w:type="character" w:styleId="22">
    <w:name w:val="HTML Cite"/>
    <w:basedOn w:val="12"/>
    <w:autoRedefine/>
    <w:semiHidden/>
    <w:unhideWhenUsed/>
    <w:qFormat/>
    <w:uiPriority w:val="99"/>
  </w:style>
  <w:style w:type="character" w:styleId="23">
    <w:name w:val="HTML Keyboard"/>
    <w:basedOn w:val="12"/>
    <w:autoRedefine/>
    <w:semiHidden/>
    <w:unhideWhenUsed/>
    <w:qFormat/>
    <w:uiPriority w:val="99"/>
    <w:rPr>
      <w:rFonts w:ascii="monospace" w:hAnsi="monospace" w:eastAsia="monospace" w:cs="monospace"/>
      <w:sz w:val="20"/>
    </w:rPr>
  </w:style>
  <w:style w:type="character" w:styleId="24">
    <w:name w:val="HTML Sample"/>
    <w:basedOn w:val="12"/>
    <w:autoRedefine/>
    <w:semiHidden/>
    <w:unhideWhenUsed/>
    <w:qFormat/>
    <w:uiPriority w:val="99"/>
    <w:rPr>
      <w:rFonts w:hint="default" w:ascii="monospace" w:hAnsi="monospace" w:eastAsia="monospace" w:cs="monospace"/>
    </w:rPr>
  </w:style>
  <w:style w:type="character" w:customStyle="1" w:styleId="25">
    <w:name w:val="页眉 Char"/>
    <w:basedOn w:val="12"/>
    <w:link w:val="8"/>
    <w:autoRedefine/>
    <w:qFormat/>
    <w:uiPriority w:val="99"/>
    <w:rPr>
      <w:sz w:val="18"/>
      <w:szCs w:val="18"/>
    </w:rPr>
  </w:style>
  <w:style w:type="character" w:customStyle="1" w:styleId="26">
    <w:name w:val="页脚 Char"/>
    <w:basedOn w:val="12"/>
    <w:link w:val="7"/>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正文文本 Char"/>
    <w:basedOn w:val="12"/>
    <w:link w:val="5"/>
    <w:autoRedefine/>
    <w:qFormat/>
    <w:uiPriority w:val="0"/>
    <w:rPr>
      <w:rFonts w:ascii="仿宋_GB2312" w:hAnsi="Times New Roman" w:eastAsia="仿宋_GB2312" w:cs="Times New Roman"/>
      <w:kern w:val="0"/>
      <w:sz w:val="24"/>
      <w:szCs w:val="20"/>
    </w:rPr>
  </w:style>
  <w:style w:type="paragraph" w:styleId="29">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basedOn w:val="12"/>
    <w:link w:val="2"/>
    <w:autoRedefine/>
    <w:qFormat/>
    <w:uiPriority w:val="9"/>
    <w:rPr>
      <w:b/>
      <w:bCs/>
      <w:kern w:val="44"/>
      <w:sz w:val="44"/>
      <w:szCs w:val="44"/>
    </w:rPr>
  </w:style>
  <w:style w:type="character" w:customStyle="1" w:styleId="31">
    <w:name w:val="标题 2 Char"/>
    <w:basedOn w:val="12"/>
    <w:link w:val="3"/>
    <w:autoRedefine/>
    <w:qFormat/>
    <w:uiPriority w:val="9"/>
    <w:rPr>
      <w:rFonts w:asciiTheme="majorHAnsi" w:hAnsiTheme="majorHAnsi" w:eastAsiaTheme="majorEastAsia" w:cstheme="majorBidi"/>
      <w:b/>
      <w:bCs/>
      <w:sz w:val="32"/>
      <w:szCs w:val="32"/>
    </w:rPr>
  </w:style>
  <w:style w:type="character" w:customStyle="1" w:styleId="32">
    <w:name w:val="font21"/>
    <w:basedOn w:val="12"/>
    <w:autoRedefine/>
    <w:qFormat/>
    <w:uiPriority w:val="0"/>
    <w:rPr>
      <w:rFonts w:hint="eastAsia" w:ascii="宋体" w:hAnsi="宋体" w:eastAsia="宋体" w:cs="宋体"/>
      <w:color w:val="000000"/>
      <w:sz w:val="16"/>
      <w:szCs w:val="16"/>
      <w:u w:val="none"/>
    </w:rPr>
  </w:style>
  <w:style w:type="character" w:customStyle="1" w:styleId="33">
    <w:name w:val="font61"/>
    <w:basedOn w:val="12"/>
    <w:autoRedefine/>
    <w:qFormat/>
    <w:uiPriority w:val="0"/>
    <w:rPr>
      <w:rFonts w:hint="eastAsia" w:ascii="宋体" w:hAnsi="宋体" w:eastAsia="宋体" w:cs="宋体"/>
      <w:color w:val="FF0000"/>
      <w:sz w:val="16"/>
      <w:szCs w:val="16"/>
      <w:u w:val="none"/>
    </w:rPr>
  </w:style>
  <w:style w:type="character" w:customStyle="1" w:styleId="34">
    <w:name w:val="font51"/>
    <w:basedOn w:val="12"/>
    <w:autoRedefine/>
    <w:qFormat/>
    <w:uiPriority w:val="0"/>
    <w:rPr>
      <w:rFonts w:hint="eastAsia" w:ascii="宋体" w:hAnsi="宋体" w:eastAsia="宋体" w:cs="宋体"/>
      <w:color w:val="0070C0"/>
      <w:sz w:val="16"/>
      <w:szCs w:val="16"/>
      <w:u w:val="none"/>
    </w:rPr>
  </w:style>
  <w:style w:type="character" w:customStyle="1" w:styleId="35">
    <w:name w:val="font161"/>
    <w:basedOn w:val="12"/>
    <w:autoRedefine/>
    <w:qFormat/>
    <w:uiPriority w:val="0"/>
    <w:rPr>
      <w:rFonts w:ascii="Arial" w:hAnsi="Arial" w:cs="Arial"/>
      <w:color w:val="000000"/>
      <w:sz w:val="16"/>
      <w:szCs w:val="16"/>
      <w:u w:val="none"/>
    </w:rPr>
  </w:style>
  <w:style w:type="character" w:customStyle="1" w:styleId="36">
    <w:name w:val="font41"/>
    <w:basedOn w:val="12"/>
    <w:qFormat/>
    <w:uiPriority w:val="0"/>
    <w:rPr>
      <w:rFonts w:hint="eastAsia" w:ascii="宋体" w:hAnsi="宋体" w:eastAsia="宋体" w:cs="宋体"/>
      <w:color w:val="000000"/>
      <w:sz w:val="16"/>
      <w:szCs w:val="16"/>
      <w:u w:val="none"/>
    </w:rPr>
  </w:style>
  <w:style w:type="character" w:customStyle="1" w:styleId="37">
    <w:name w:val="font191"/>
    <w:basedOn w:val="12"/>
    <w:autoRedefine/>
    <w:qFormat/>
    <w:uiPriority w:val="0"/>
    <w:rPr>
      <w:rFonts w:ascii="微软雅黑" w:hAnsi="微软雅黑" w:eastAsia="微软雅黑" w:cs="微软雅黑"/>
      <w:color w:val="000000"/>
      <w:sz w:val="16"/>
      <w:szCs w:val="16"/>
      <w:u w:val="none"/>
    </w:rPr>
  </w:style>
  <w:style w:type="character" w:customStyle="1" w:styleId="38">
    <w:name w:val="15"/>
    <w:basedOn w:val="12"/>
    <w:autoRedefine/>
    <w:qFormat/>
    <w:uiPriority w:val="0"/>
    <w:rPr>
      <w:rFonts w:hint="eastAsia" w:ascii="宋体" w:hAnsi="宋体" w:eastAsia="宋体"/>
      <w:color w:val="333333"/>
      <w:sz w:val="18"/>
      <w:szCs w:val="18"/>
    </w:rPr>
  </w:style>
  <w:style w:type="character" w:customStyle="1" w:styleId="39">
    <w:name w:val="font91"/>
    <w:basedOn w:val="12"/>
    <w:autoRedefine/>
    <w:qFormat/>
    <w:uiPriority w:val="0"/>
    <w:rPr>
      <w:rFonts w:hint="eastAsia" w:ascii="宋体" w:hAnsi="宋体" w:eastAsia="宋体" w:cs="宋体"/>
      <w:color w:val="FF0000"/>
      <w:sz w:val="16"/>
      <w:szCs w:val="16"/>
      <w:u w:val="none"/>
    </w:rPr>
  </w:style>
  <w:style w:type="character" w:customStyle="1" w:styleId="40">
    <w:name w:val="font31"/>
    <w:basedOn w:val="12"/>
    <w:autoRedefine/>
    <w:qFormat/>
    <w:uiPriority w:val="0"/>
    <w:rPr>
      <w:rFonts w:hint="eastAsia" w:ascii="宋体" w:hAnsi="宋体" w:eastAsia="宋体" w:cs="宋体"/>
      <w:color w:val="000000"/>
      <w:sz w:val="16"/>
      <w:szCs w:val="16"/>
      <w:u w:val="none"/>
    </w:rPr>
  </w:style>
  <w:style w:type="character" w:customStyle="1" w:styleId="41">
    <w:name w:val="font81"/>
    <w:basedOn w:val="12"/>
    <w:autoRedefine/>
    <w:qFormat/>
    <w:uiPriority w:val="0"/>
    <w:rPr>
      <w:rFonts w:hint="eastAsia" w:ascii="宋体" w:hAnsi="宋体" w:eastAsia="宋体" w:cs="宋体"/>
      <w:color w:val="FF0000"/>
      <w:sz w:val="16"/>
      <w:szCs w:val="16"/>
      <w:u w:val="none"/>
    </w:rPr>
  </w:style>
  <w:style w:type="character" w:customStyle="1" w:styleId="42">
    <w:name w:val="font01"/>
    <w:basedOn w:val="12"/>
    <w:autoRedefine/>
    <w:qFormat/>
    <w:uiPriority w:val="0"/>
    <w:rPr>
      <w:rFonts w:hint="eastAsia" w:ascii="宋体" w:hAnsi="宋体" w:eastAsia="宋体" w:cs="宋体"/>
      <w:color w:val="000000"/>
      <w:sz w:val="22"/>
      <w:szCs w:val="22"/>
      <w:u w:val="none"/>
    </w:rPr>
  </w:style>
  <w:style w:type="character" w:customStyle="1" w:styleId="43">
    <w:name w:val="font71"/>
    <w:basedOn w:val="12"/>
    <w:autoRedefine/>
    <w:qFormat/>
    <w:uiPriority w:val="0"/>
    <w:rPr>
      <w:rFonts w:hint="eastAsia" w:ascii="宋体" w:hAnsi="宋体" w:eastAsia="宋体" w:cs="宋体"/>
      <w:color w:val="92D050"/>
      <w:sz w:val="16"/>
      <w:szCs w:val="16"/>
      <w:u w:val="none"/>
    </w:rPr>
  </w:style>
  <w:style w:type="character" w:customStyle="1" w:styleId="44">
    <w:name w:val="font101"/>
    <w:basedOn w:val="12"/>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10122</Words>
  <Characters>11681</Characters>
  <Lines>56</Lines>
  <Paragraphs>15</Paragraphs>
  <TotalTime>18</TotalTime>
  <ScaleCrop>false</ScaleCrop>
  <LinksUpToDate>false</LinksUpToDate>
  <CharactersWithSpaces>12106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2024-03-27T08:51:00Z</dcterms:created>
  <dc:creator>chendl</dc:creator>
  <cp:lastModifiedBy>朱朱一激灵</cp:lastModifiedBy>
  <dcterms:modified xsi:type="dcterms:W3CDTF">2025-03-05T03:17:35Z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7F5F3FA9381C4D38814281AC25C3CA65_13</vt:lpwstr>
  </property>
  <property fmtid="{D5CDD505-2E9C-101B-9397-08002B2CF9AE}" pid="4" name="KSOTemplateDocerSaveRecord">
    <vt:lpwstr>eyJoZGlkIjoiMTY2YTIwOGNjNGVkNmIzNjkyYTgzNDZhNWU4OWEyYTAiLCJ1c2VySWQiOiIzMzI1OTk2NjMifQ==</vt:lpwstr>
  </property>
</Properties>
</file>